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5805" w14:textId="77777777" w:rsidR="006D7AB5" w:rsidRPr="00F743C7" w:rsidRDefault="006D7AB5" w:rsidP="006D7AB5">
      <w:pPr>
        <w:tabs>
          <w:tab w:val="left" w:pos="567"/>
        </w:tabs>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ΑΝΩΤΑΤΟ ΔΙΚΑΣΤΗΡΙΟ ΚΥΠΡΟΥ</w:t>
      </w:r>
    </w:p>
    <w:p w14:paraId="282D7615" w14:textId="77777777" w:rsidR="006D7AB5" w:rsidRPr="00F743C7" w:rsidRDefault="006D7AB5" w:rsidP="006D7AB5">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7317DB4B" w14:textId="77777777" w:rsidR="006D7AB5" w:rsidRPr="00F743C7" w:rsidRDefault="006D7AB5" w:rsidP="006D7AB5">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p>
    <w:p w14:paraId="7544BA03" w14:textId="2728FAB6" w:rsidR="006D7AB5" w:rsidRPr="00F743C7" w:rsidRDefault="006D7AB5" w:rsidP="006D7AB5">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w:t>
      </w:r>
      <w:r w:rsidRPr="00F743C7">
        <w:rPr>
          <w:rFonts w:ascii="Bookman Old Style" w:hAnsi="Bookman Old Style" w:cs="Times New Roman"/>
          <w:i/>
          <w:sz w:val="28"/>
          <w:szCs w:val="28"/>
          <w:lang w:val="el-GR"/>
        </w:rPr>
        <w:t xml:space="preserve">Πολιτική Έφεση </w:t>
      </w:r>
      <w:proofErr w:type="spellStart"/>
      <w:r w:rsidRPr="00F743C7">
        <w:rPr>
          <w:rFonts w:ascii="Bookman Old Style" w:hAnsi="Bookman Old Style" w:cs="Times New Roman"/>
          <w:i/>
          <w:sz w:val="28"/>
          <w:szCs w:val="28"/>
          <w:lang w:val="el-GR"/>
        </w:rPr>
        <w:t>Αρ</w:t>
      </w:r>
      <w:proofErr w:type="spellEnd"/>
      <w:r w:rsidRPr="00F743C7">
        <w:rPr>
          <w:rFonts w:ascii="Bookman Old Style" w:hAnsi="Bookman Old Style" w:cs="Times New Roman"/>
          <w:i/>
          <w:sz w:val="28"/>
          <w:szCs w:val="28"/>
          <w:lang w:val="el-GR"/>
        </w:rPr>
        <w:t>.</w:t>
      </w:r>
      <w:r w:rsidRPr="004B2370">
        <w:rPr>
          <w:rFonts w:ascii="Bookman Old Style" w:hAnsi="Bookman Old Style" w:cs="Times New Roman"/>
          <w:i/>
          <w:sz w:val="28"/>
          <w:szCs w:val="28"/>
          <w:lang w:val="el-GR"/>
        </w:rPr>
        <w:t xml:space="preserve"> </w:t>
      </w:r>
      <w:r>
        <w:rPr>
          <w:rFonts w:ascii="Bookman Old Style" w:hAnsi="Bookman Old Style" w:cs="Times New Roman"/>
          <w:i/>
          <w:sz w:val="28"/>
          <w:szCs w:val="28"/>
          <w:lang w:val="el-GR"/>
        </w:rPr>
        <w:t>108/</w:t>
      </w:r>
      <w:r w:rsidRPr="00F743C7">
        <w:rPr>
          <w:rFonts w:ascii="Bookman Old Style" w:hAnsi="Bookman Old Style" w:cs="Times New Roman"/>
          <w:i/>
          <w:sz w:val="28"/>
          <w:szCs w:val="28"/>
          <w:lang w:val="el-GR"/>
        </w:rPr>
        <w:t>201</w:t>
      </w:r>
      <w:r w:rsidRPr="004B2370">
        <w:rPr>
          <w:rFonts w:ascii="Bookman Old Style" w:hAnsi="Bookman Old Style" w:cs="Times New Roman"/>
          <w:i/>
          <w:sz w:val="28"/>
          <w:szCs w:val="28"/>
          <w:lang w:val="el-GR"/>
        </w:rPr>
        <w:t>5</w:t>
      </w:r>
      <w:r w:rsidRPr="00F743C7">
        <w:rPr>
          <w:rFonts w:ascii="Bookman Old Style" w:hAnsi="Bookman Old Style" w:cs="Times New Roman"/>
          <w:iCs/>
          <w:sz w:val="28"/>
          <w:szCs w:val="28"/>
          <w:lang w:val="el-GR"/>
        </w:rPr>
        <w:t>)</w:t>
      </w:r>
    </w:p>
    <w:p w14:paraId="68A10956" w14:textId="77777777" w:rsidR="006D7AB5" w:rsidRPr="00F743C7" w:rsidRDefault="006D7AB5" w:rsidP="006D7AB5">
      <w:pPr>
        <w:jc w:val="center"/>
        <w:rPr>
          <w:rFonts w:ascii="Bookman Old Style" w:hAnsi="Bookman Old Style" w:cs="Times New Roman"/>
          <w:sz w:val="28"/>
          <w:szCs w:val="28"/>
          <w:lang w:val="el-GR"/>
        </w:rPr>
      </w:pPr>
    </w:p>
    <w:p w14:paraId="04F01903" w14:textId="1B724E6E" w:rsidR="006D7AB5" w:rsidRPr="00F743C7" w:rsidRDefault="00136116" w:rsidP="006D7AB5">
      <w:pPr>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31 </w:t>
      </w:r>
      <w:r w:rsidR="006D7AB5">
        <w:rPr>
          <w:rFonts w:ascii="Bookman Old Style" w:hAnsi="Bookman Old Style" w:cs="Times New Roman"/>
          <w:sz w:val="28"/>
          <w:szCs w:val="28"/>
          <w:lang w:val="el-GR"/>
        </w:rPr>
        <w:t>Ιανουαρίου</w:t>
      </w:r>
      <w:r w:rsidR="006D7AB5" w:rsidRPr="00F743C7">
        <w:rPr>
          <w:rFonts w:ascii="Bookman Old Style" w:hAnsi="Bookman Old Style" w:cs="Times New Roman"/>
          <w:sz w:val="28"/>
          <w:szCs w:val="28"/>
          <w:lang w:val="el-GR"/>
        </w:rPr>
        <w:t>, 202</w:t>
      </w:r>
      <w:r w:rsidR="00061392">
        <w:rPr>
          <w:rFonts w:ascii="Bookman Old Style" w:hAnsi="Bookman Old Style" w:cs="Times New Roman"/>
          <w:sz w:val="28"/>
          <w:szCs w:val="28"/>
          <w:lang w:val="el-GR"/>
        </w:rPr>
        <w:t>4</w:t>
      </w:r>
    </w:p>
    <w:p w14:paraId="09FC49BB" w14:textId="77777777" w:rsidR="006D7AB5" w:rsidRPr="00F743C7" w:rsidRDefault="006D7AB5" w:rsidP="006D7AB5">
      <w:pPr>
        <w:jc w:val="center"/>
        <w:rPr>
          <w:rFonts w:ascii="Bookman Old Style" w:hAnsi="Bookman Old Style" w:cs="Times New Roman"/>
          <w:sz w:val="28"/>
          <w:szCs w:val="28"/>
          <w:lang w:val="el-GR"/>
        </w:rPr>
      </w:pPr>
    </w:p>
    <w:p w14:paraId="2EA542E8" w14:textId="77777777" w:rsidR="006D7AB5" w:rsidRPr="00F743C7" w:rsidRDefault="006D7AB5" w:rsidP="006D7AB5">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w:t>
      </w:r>
      <w:proofErr w:type="spellStart"/>
      <w:r w:rsidRPr="00F743C7">
        <w:rPr>
          <w:rFonts w:ascii="Bookman Old Style" w:hAnsi="Bookman Old Style" w:cs="Times New Roman"/>
          <w:sz w:val="28"/>
          <w:szCs w:val="28"/>
          <w:lang w:val="el-GR"/>
        </w:rPr>
        <w:t>στές</w:t>
      </w:r>
      <w:proofErr w:type="spellEnd"/>
      <w:r w:rsidRPr="00F743C7">
        <w:rPr>
          <w:rFonts w:ascii="Bookman Old Style" w:hAnsi="Bookman Old Style" w:cs="Times New Roman"/>
          <w:sz w:val="28"/>
          <w:szCs w:val="28"/>
          <w:lang w:val="el-GR"/>
        </w:rPr>
        <w:t>]</w:t>
      </w:r>
    </w:p>
    <w:p w14:paraId="15048C0F" w14:textId="77777777" w:rsidR="006D7AB5" w:rsidRPr="00F743C7" w:rsidRDefault="006D7AB5" w:rsidP="006D7AB5">
      <w:pPr>
        <w:rPr>
          <w:rFonts w:ascii="Bookman Old Style" w:hAnsi="Bookman Old Style" w:cs="Times New Roman"/>
          <w:sz w:val="28"/>
          <w:szCs w:val="28"/>
          <w:lang w:val="el-GR"/>
        </w:rPr>
      </w:pPr>
    </w:p>
    <w:p w14:paraId="16D75D58" w14:textId="77777777" w:rsidR="006D7AB5" w:rsidRPr="006D7AB5" w:rsidRDefault="006D7AB5" w:rsidP="006D7AB5">
      <w:pPr>
        <w:tabs>
          <w:tab w:val="left" w:pos="3544"/>
        </w:tabs>
        <w:spacing w:after="0"/>
        <w:ind w:firstLine="709"/>
        <w:jc w:val="center"/>
        <w:rPr>
          <w:rFonts w:ascii="Bookman Old Style" w:hAnsi="Bookman Old Style" w:cs="Times New Roman"/>
          <w:sz w:val="28"/>
          <w:szCs w:val="28"/>
          <w:lang w:val="el-GR"/>
        </w:rPr>
      </w:pPr>
      <w:r>
        <w:rPr>
          <w:rFonts w:ascii="Bookman Old Style" w:hAnsi="Bookman Old Style" w:cs="Times New Roman"/>
          <w:sz w:val="28"/>
          <w:szCs w:val="28"/>
          <w:lang w:val="el-GR"/>
        </w:rPr>
        <w:t>ΚΑ</w:t>
      </w:r>
      <w:r>
        <w:rPr>
          <w:rFonts w:ascii="Bookman Old Style" w:hAnsi="Bookman Old Style" w:cs="Times New Roman"/>
          <w:sz w:val="28"/>
          <w:szCs w:val="28"/>
        </w:rPr>
        <w:t>MBALDA</w:t>
      </w:r>
      <w:r w:rsidRPr="006D7AB5">
        <w:rPr>
          <w:rFonts w:ascii="Bookman Old Style" w:hAnsi="Bookman Old Style" w:cs="Times New Roman"/>
          <w:sz w:val="28"/>
          <w:szCs w:val="28"/>
          <w:lang w:val="el-GR"/>
        </w:rPr>
        <w:t xml:space="preserve"> </w:t>
      </w:r>
      <w:r>
        <w:rPr>
          <w:rFonts w:ascii="Bookman Old Style" w:hAnsi="Bookman Old Style" w:cs="Times New Roman"/>
          <w:sz w:val="28"/>
          <w:szCs w:val="28"/>
        </w:rPr>
        <w:t>LTD</w:t>
      </w:r>
    </w:p>
    <w:p w14:paraId="18AAFB90" w14:textId="77777777" w:rsidR="006D7AB5" w:rsidRPr="004B2370" w:rsidRDefault="006D7AB5" w:rsidP="006D7AB5">
      <w:pPr>
        <w:tabs>
          <w:tab w:val="left" w:pos="1985"/>
          <w:tab w:val="left" w:pos="5670"/>
        </w:tabs>
        <w:ind w:left="2694" w:hanging="426"/>
        <w:rPr>
          <w:rFonts w:ascii="Bookman Old Style" w:hAnsi="Bookman Old Style" w:cs="Times New Roman"/>
          <w:i/>
          <w:sz w:val="28"/>
          <w:szCs w:val="28"/>
          <w:lang w:val="el-GR"/>
        </w:rPr>
      </w:pPr>
      <w:r w:rsidRPr="000F3727">
        <w:rPr>
          <w:rFonts w:ascii="Bookman Old Style" w:hAnsi="Bookman Old Style" w:cs="Times New Roman"/>
          <w:i/>
          <w:sz w:val="28"/>
          <w:szCs w:val="28"/>
          <w:lang w:val="el-GR"/>
        </w:rPr>
        <w:tab/>
      </w:r>
      <w:r w:rsidRPr="000F3727">
        <w:rPr>
          <w:rFonts w:ascii="Bookman Old Style" w:hAnsi="Bookman Old Style" w:cs="Times New Roman"/>
          <w:i/>
          <w:sz w:val="28"/>
          <w:szCs w:val="28"/>
          <w:lang w:val="el-GR"/>
        </w:rPr>
        <w:tab/>
      </w:r>
      <w:r w:rsidRPr="000F3727">
        <w:rPr>
          <w:rFonts w:ascii="Bookman Old Style" w:hAnsi="Bookman Old Style" w:cs="Times New Roman"/>
          <w:i/>
          <w:sz w:val="28"/>
          <w:szCs w:val="28"/>
          <w:lang w:val="el-GR"/>
        </w:rPr>
        <w:tab/>
      </w:r>
      <w:r w:rsidRPr="000F3727">
        <w:rPr>
          <w:rFonts w:ascii="Bookman Old Style" w:hAnsi="Bookman Old Style" w:cs="Times New Roman"/>
          <w:i/>
          <w:sz w:val="28"/>
          <w:szCs w:val="28"/>
          <w:lang w:val="el-GR"/>
        </w:rPr>
        <w:tab/>
      </w:r>
      <w:proofErr w:type="spellStart"/>
      <w:r w:rsidRPr="00F743C7">
        <w:rPr>
          <w:rFonts w:ascii="Bookman Old Style" w:hAnsi="Bookman Old Style" w:cs="Times New Roman"/>
          <w:i/>
          <w:sz w:val="28"/>
          <w:szCs w:val="28"/>
          <w:lang w:val="el-GR"/>
        </w:rPr>
        <w:t>Εφεσείουσα</w:t>
      </w:r>
      <w:proofErr w:type="spellEnd"/>
      <w:r w:rsidRPr="004B2370">
        <w:rPr>
          <w:rFonts w:ascii="Bookman Old Style" w:hAnsi="Bookman Old Style" w:cs="Times New Roman"/>
          <w:i/>
          <w:sz w:val="28"/>
          <w:szCs w:val="28"/>
          <w:lang w:val="el-GR"/>
        </w:rPr>
        <w:t>,</w:t>
      </w:r>
    </w:p>
    <w:p w14:paraId="728186AC" w14:textId="77777777" w:rsidR="006D7AB5" w:rsidRPr="004B2370" w:rsidRDefault="006D7AB5" w:rsidP="006D7AB5">
      <w:pPr>
        <w:jc w:val="center"/>
        <w:rPr>
          <w:rFonts w:ascii="Bookman Old Style" w:hAnsi="Bookman Old Style" w:cs="Times New Roman"/>
          <w:iCs/>
          <w:sz w:val="28"/>
          <w:szCs w:val="28"/>
          <w:lang w:val="el-GR"/>
        </w:rPr>
      </w:pPr>
      <w:r w:rsidRPr="00F743C7">
        <w:rPr>
          <w:rFonts w:ascii="Bookman Old Style" w:hAnsi="Bookman Old Style" w:cs="Times New Roman"/>
          <w:iCs/>
          <w:sz w:val="28"/>
          <w:szCs w:val="28"/>
          <w:lang w:val="el-GR"/>
        </w:rPr>
        <w:t>ν</w:t>
      </w:r>
      <w:r w:rsidRPr="004B2370">
        <w:rPr>
          <w:rFonts w:ascii="Bookman Old Style" w:hAnsi="Bookman Old Style" w:cs="Times New Roman"/>
          <w:iCs/>
          <w:sz w:val="28"/>
          <w:szCs w:val="28"/>
          <w:lang w:val="el-GR"/>
        </w:rPr>
        <w:t>.</w:t>
      </w:r>
    </w:p>
    <w:p w14:paraId="6E1859A3" w14:textId="77777777" w:rsidR="006D7AB5" w:rsidRPr="004B2370" w:rsidRDefault="006D7AB5" w:rsidP="006D7AB5">
      <w:pPr>
        <w:spacing w:after="0" w:line="240" w:lineRule="auto"/>
        <w:jc w:val="center"/>
        <w:rPr>
          <w:rFonts w:ascii="Bookman Old Style" w:hAnsi="Bookman Old Style" w:cs="Times New Roman"/>
          <w:iCs/>
          <w:sz w:val="28"/>
          <w:szCs w:val="28"/>
          <w:lang w:val="el-GR"/>
        </w:rPr>
      </w:pPr>
    </w:p>
    <w:p w14:paraId="443A251A" w14:textId="77777777" w:rsidR="006D7AB5" w:rsidRPr="006D7AB5" w:rsidRDefault="006D7AB5" w:rsidP="006D7AB5">
      <w:pPr>
        <w:pStyle w:val="ListParagraph"/>
        <w:numPr>
          <w:ilvl w:val="0"/>
          <w:numId w:val="1"/>
        </w:numPr>
        <w:ind w:left="3402" w:hanging="425"/>
        <w:jc w:val="both"/>
        <w:rPr>
          <w:rFonts w:ascii="Bookman Old Style" w:hAnsi="Bookman Old Style" w:cs="Times New Roman"/>
          <w:iCs/>
          <w:sz w:val="28"/>
          <w:szCs w:val="28"/>
          <w:lang w:val="el-GR"/>
        </w:rPr>
      </w:pPr>
      <w:r>
        <w:rPr>
          <w:rFonts w:ascii="Bookman Old Style" w:hAnsi="Bookman Old Style" w:cs="Times New Roman"/>
          <w:iCs/>
          <w:sz w:val="28"/>
          <w:szCs w:val="28"/>
        </w:rPr>
        <w:t>ANDREA JANE CORBETT</w:t>
      </w:r>
    </w:p>
    <w:p w14:paraId="35E77E67" w14:textId="77777777" w:rsidR="006D7AB5" w:rsidRDefault="006D7AB5" w:rsidP="006D7AB5">
      <w:pPr>
        <w:pStyle w:val="ListParagraph"/>
        <w:numPr>
          <w:ilvl w:val="0"/>
          <w:numId w:val="1"/>
        </w:numPr>
        <w:ind w:left="3402" w:hanging="425"/>
        <w:jc w:val="both"/>
        <w:rPr>
          <w:rFonts w:ascii="Bookman Old Style" w:hAnsi="Bookman Old Style" w:cs="Times New Roman"/>
          <w:iCs/>
          <w:sz w:val="28"/>
          <w:szCs w:val="28"/>
          <w:lang w:val="el-GR"/>
        </w:rPr>
      </w:pPr>
      <w:r>
        <w:rPr>
          <w:rFonts w:ascii="Bookman Old Style" w:hAnsi="Bookman Old Style" w:cs="Times New Roman"/>
          <w:iCs/>
          <w:sz w:val="28"/>
          <w:szCs w:val="28"/>
          <w:lang w:val="el-GR"/>
        </w:rPr>
        <w:t>ΤΑΣΟΥ ΘΕΟΔΟΣΙΟΥ</w:t>
      </w:r>
    </w:p>
    <w:p w14:paraId="53388859" w14:textId="6F9C2868" w:rsidR="006D7AB5" w:rsidRPr="00F743C7" w:rsidRDefault="006D7AB5" w:rsidP="006D7AB5">
      <w:pPr>
        <w:tabs>
          <w:tab w:val="left" w:pos="5670"/>
        </w:tabs>
        <w:rPr>
          <w:rFonts w:ascii="Bookman Old Style" w:hAnsi="Bookman Old Style" w:cs="Times New Roman"/>
          <w:i/>
          <w:sz w:val="28"/>
          <w:szCs w:val="28"/>
          <w:lang w:val="el-GR"/>
        </w:rPr>
      </w:pPr>
      <w:r w:rsidRPr="001A2E07">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F743C7">
        <w:rPr>
          <w:rFonts w:ascii="Bookman Old Style" w:hAnsi="Bookman Old Style" w:cs="Times New Roman"/>
          <w:i/>
          <w:sz w:val="28"/>
          <w:szCs w:val="28"/>
          <w:lang w:val="el-GR"/>
        </w:rPr>
        <w:t>Εφεσίβλητ</w:t>
      </w:r>
      <w:r>
        <w:rPr>
          <w:rFonts w:ascii="Bookman Old Style" w:hAnsi="Bookman Old Style" w:cs="Times New Roman"/>
          <w:i/>
          <w:sz w:val="28"/>
          <w:szCs w:val="28"/>
          <w:lang w:val="el-GR"/>
        </w:rPr>
        <w:t>ων</w:t>
      </w:r>
      <w:r w:rsidRPr="00F743C7">
        <w:rPr>
          <w:rFonts w:ascii="Bookman Old Style" w:hAnsi="Bookman Old Style" w:cs="Times New Roman"/>
          <w:i/>
          <w:sz w:val="28"/>
          <w:szCs w:val="28"/>
          <w:lang w:val="el-GR"/>
        </w:rPr>
        <w:t>.</w:t>
      </w:r>
    </w:p>
    <w:p w14:paraId="3AD39D7E" w14:textId="77777777" w:rsidR="006D7AB5" w:rsidRDefault="006D7AB5" w:rsidP="006D7AB5">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p>
    <w:p w14:paraId="319FD2DB" w14:textId="6C85D175" w:rsidR="006D7AB5" w:rsidRDefault="00061392" w:rsidP="006D7AB5">
      <w:pPr>
        <w:tabs>
          <w:tab w:val="left" w:pos="567"/>
        </w:tabs>
        <w:spacing w:line="276" w:lineRule="auto"/>
        <w:ind w:left="567"/>
        <w:jc w:val="both"/>
        <w:rPr>
          <w:rFonts w:ascii="Bookman Old Style" w:hAnsi="Bookman Old Style" w:cs="Times New Roman"/>
          <w:sz w:val="28"/>
          <w:szCs w:val="28"/>
          <w:lang w:val="el-GR"/>
        </w:rPr>
      </w:pPr>
      <w:r>
        <w:rPr>
          <w:rFonts w:ascii="Bookman Old Style" w:hAnsi="Bookman Old Style" w:cs="Times New Roman"/>
          <w:i/>
          <w:iCs/>
          <w:sz w:val="28"/>
          <w:szCs w:val="28"/>
          <w:lang w:val="el-GR"/>
        </w:rPr>
        <w:t xml:space="preserve">Γ. </w:t>
      </w:r>
      <w:proofErr w:type="spellStart"/>
      <w:r>
        <w:rPr>
          <w:rFonts w:ascii="Bookman Old Style" w:hAnsi="Bookman Old Style" w:cs="Times New Roman"/>
          <w:i/>
          <w:iCs/>
          <w:sz w:val="28"/>
          <w:szCs w:val="28"/>
          <w:lang w:val="el-GR"/>
        </w:rPr>
        <w:t>Πιττάτζιης</w:t>
      </w:r>
      <w:proofErr w:type="spellEnd"/>
      <w:r>
        <w:rPr>
          <w:rFonts w:ascii="Bookman Old Style" w:hAnsi="Bookman Old Style" w:cs="Times New Roman"/>
          <w:i/>
          <w:iCs/>
          <w:sz w:val="28"/>
          <w:szCs w:val="28"/>
          <w:lang w:val="el-GR"/>
        </w:rPr>
        <w:t xml:space="preserve">, για Γιώργος Φ. </w:t>
      </w:r>
      <w:proofErr w:type="spellStart"/>
      <w:r>
        <w:rPr>
          <w:rFonts w:ascii="Bookman Old Style" w:hAnsi="Bookman Old Style" w:cs="Times New Roman"/>
          <w:i/>
          <w:iCs/>
          <w:sz w:val="28"/>
          <w:szCs w:val="28"/>
          <w:lang w:val="el-GR"/>
        </w:rPr>
        <w:t>Πιττάτζιης</w:t>
      </w:r>
      <w:proofErr w:type="spellEnd"/>
      <w:r>
        <w:rPr>
          <w:rFonts w:ascii="Bookman Old Style" w:hAnsi="Bookman Old Style" w:cs="Times New Roman"/>
          <w:i/>
          <w:iCs/>
          <w:sz w:val="28"/>
          <w:szCs w:val="28"/>
          <w:lang w:val="el-GR"/>
        </w:rPr>
        <w:t xml:space="preserve"> Δ.Ε.Π.Ε.</w:t>
      </w:r>
      <w:r>
        <w:rPr>
          <w:rFonts w:ascii="Bookman Old Style" w:hAnsi="Bookman Old Style" w:cs="Times New Roman"/>
          <w:sz w:val="28"/>
          <w:szCs w:val="28"/>
          <w:lang w:val="el-GR"/>
        </w:rPr>
        <w:t xml:space="preserve">, για την </w:t>
      </w:r>
      <w:proofErr w:type="spellStart"/>
      <w:r>
        <w:rPr>
          <w:rFonts w:ascii="Bookman Old Style" w:hAnsi="Bookman Old Style" w:cs="Times New Roman"/>
          <w:sz w:val="28"/>
          <w:szCs w:val="28"/>
          <w:lang w:val="el-GR"/>
        </w:rPr>
        <w:t>Εφεσείουσα</w:t>
      </w:r>
      <w:proofErr w:type="spellEnd"/>
      <w:r>
        <w:rPr>
          <w:rFonts w:ascii="Bookman Old Style" w:hAnsi="Bookman Old Style" w:cs="Times New Roman"/>
          <w:sz w:val="28"/>
          <w:szCs w:val="28"/>
          <w:lang w:val="el-GR"/>
        </w:rPr>
        <w:t>.</w:t>
      </w:r>
    </w:p>
    <w:p w14:paraId="695DDA12" w14:textId="147E2467" w:rsidR="00061392" w:rsidRDefault="00061392" w:rsidP="006D7AB5">
      <w:pPr>
        <w:tabs>
          <w:tab w:val="left" w:pos="567"/>
        </w:tabs>
        <w:spacing w:line="276" w:lineRule="auto"/>
        <w:ind w:left="567"/>
        <w:jc w:val="both"/>
        <w:rPr>
          <w:rFonts w:ascii="Bookman Old Style" w:hAnsi="Bookman Old Style" w:cs="Times New Roman"/>
          <w:sz w:val="28"/>
          <w:szCs w:val="28"/>
          <w:lang w:val="el-GR"/>
        </w:rPr>
      </w:pPr>
      <w:r>
        <w:rPr>
          <w:rFonts w:ascii="Bookman Old Style" w:hAnsi="Bookman Old Style" w:cs="Times New Roman"/>
          <w:i/>
          <w:iCs/>
          <w:sz w:val="28"/>
          <w:szCs w:val="28"/>
          <w:lang w:val="el-GR"/>
        </w:rPr>
        <w:t>Α</w:t>
      </w:r>
      <w:r w:rsidRPr="00061392">
        <w:rPr>
          <w:rFonts w:ascii="Bookman Old Style" w:hAnsi="Bookman Old Style" w:cs="Times New Roman"/>
          <w:i/>
          <w:iCs/>
          <w:sz w:val="28"/>
          <w:szCs w:val="28"/>
          <w:lang w:val="el-GR"/>
        </w:rPr>
        <w:t>.</w:t>
      </w:r>
      <w:r w:rsidRPr="00061392">
        <w:rPr>
          <w:rFonts w:ascii="Bookman Old Style" w:hAnsi="Bookman Old Style" w:cs="Times New Roman"/>
          <w:sz w:val="28"/>
          <w:szCs w:val="28"/>
          <w:lang w:val="el-GR"/>
        </w:rPr>
        <w:t xml:space="preserve"> </w:t>
      </w:r>
      <w:proofErr w:type="spellStart"/>
      <w:r>
        <w:rPr>
          <w:rFonts w:ascii="Bookman Old Style" w:hAnsi="Bookman Old Style" w:cs="Times New Roman"/>
          <w:i/>
          <w:iCs/>
          <w:sz w:val="28"/>
          <w:szCs w:val="28"/>
          <w:lang w:val="el-GR"/>
        </w:rPr>
        <w:t>Κλα</w:t>
      </w:r>
      <w:r w:rsidR="00AF41A2">
        <w:rPr>
          <w:rFonts w:ascii="Bookman Old Style" w:hAnsi="Bookman Old Style" w:cs="Times New Roman"/>
          <w:i/>
          <w:iCs/>
          <w:sz w:val="28"/>
          <w:szCs w:val="28"/>
          <w:lang w:val="el-GR"/>
        </w:rPr>
        <w:t>ΐ</w:t>
      </w:r>
      <w:r>
        <w:rPr>
          <w:rFonts w:ascii="Bookman Old Style" w:hAnsi="Bookman Old Style" w:cs="Times New Roman"/>
          <w:i/>
          <w:iCs/>
          <w:sz w:val="28"/>
          <w:szCs w:val="28"/>
          <w:lang w:val="el-GR"/>
        </w:rPr>
        <w:t>δη</w:t>
      </w:r>
      <w:proofErr w:type="spellEnd"/>
      <w:r w:rsidRPr="00061392">
        <w:rPr>
          <w:rFonts w:ascii="Bookman Old Style" w:hAnsi="Bookman Old Style" w:cs="Times New Roman"/>
          <w:i/>
          <w:iCs/>
          <w:sz w:val="28"/>
          <w:szCs w:val="28"/>
          <w:lang w:val="el-GR"/>
        </w:rPr>
        <w:t xml:space="preserve"> (</w:t>
      </w:r>
      <w:r>
        <w:rPr>
          <w:rFonts w:ascii="Bookman Old Style" w:hAnsi="Bookman Old Style" w:cs="Times New Roman"/>
          <w:i/>
          <w:iCs/>
          <w:sz w:val="28"/>
          <w:szCs w:val="28"/>
          <w:lang w:val="el-GR"/>
        </w:rPr>
        <w:t>κα</w:t>
      </w:r>
      <w:r w:rsidRPr="00061392">
        <w:rPr>
          <w:rFonts w:ascii="Bookman Old Style" w:hAnsi="Bookman Old Style" w:cs="Times New Roman"/>
          <w:i/>
          <w:iCs/>
          <w:sz w:val="28"/>
          <w:szCs w:val="28"/>
          <w:lang w:val="el-GR"/>
        </w:rPr>
        <w:t xml:space="preserve">), </w:t>
      </w:r>
      <w:r>
        <w:rPr>
          <w:rFonts w:ascii="Bookman Old Style" w:hAnsi="Bookman Old Style" w:cs="Times New Roman"/>
          <w:i/>
          <w:iCs/>
          <w:sz w:val="28"/>
          <w:szCs w:val="28"/>
          <w:lang w:val="el-GR"/>
        </w:rPr>
        <w:t>για</w:t>
      </w:r>
      <w:r w:rsidRPr="00061392">
        <w:rPr>
          <w:rFonts w:ascii="Bookman Old Style" w:hAnsi="Bookman Old Style" w:cs="Times New Roman"/>
          <w:i/>
          <w:iCs/>
          <w:sz w:val="28"/>
          <w:szCs w:val="28"/>
          <w:lang w:val="el-GR"/>
        </w:rPr>
        <w:t xml:space="preserve"> </w:t>
      </w:r>
      <w:r>
        <w:rPr>
          <w:rFonts w:ascii="Bookman Old Style" w:hAnsi="Bookman Old Style" w:cs="Times New Roman"/>
          <w:i/>
          <w:iCs/>
          <w:sz w:val="28"/>
          <w:szCs w:val="28"/>
        </w:rPr>
        <w:t>T</w:t>
      </w:r>
      <w:r w:rsidRPr="00061392">
        <w:rPr>
          <w:rFonts w:ascii="Bookman Old Style" w:hAnsi="Bookman Old Style" w:cs="Times New Roman"/>
          <w:i/>
          <w:iCs/>
          <w:sz w:val="28"/>
          <w:szCs w:val="28"/>
          <w:lang w:val="el-GR"/>
        </w:rPr>
        <w:t>.</w:t>
      </w:r>
      <w:r>
        <w:rPr>
          <w:rFonts w:ascii="Bookman Old Style" w:hAnsi="Bookman Old Style" w:cs="Times New Roman"/>
          <w:i/>
          <w:iCs/>
          <w:sz w:val="28"/>
          <w:szCs w:val="28"/>
        </w:rPr>
        <w:t>T</w:t>
      </w:r>
      <w:r w:rsidRPr="00061392">
        <w:rPr>
          <w:rFonts w:ascii="Bookman Old Style" w:hAnsi="Bookman Old Style" w:cs="Times New Roman"/>
          <w:i/>
          <w:iCs/>
          <w:sz w:val="28"/>
          <w:szCs w:val="28"/>
          <w:lang w:val="el-GR"/>
        </w:rPr>
        <w:t>.</w:t>
      </w:r>
      <w:r>
        <w:rPr>
          <w:rFonts w:ascii="Bookman Old Style" w:hAnsi="Bookman Old Style" w:cs="Times New Roman"/>
          <w:i/>
          <w:iCs/>
          <w:sz w:val="28"/>
          <w:szCs w:val="28"/>
        </w:rPr>
        <w:t>C</w:t>
      </w:r>
      <w:r w:rsidRPr="00061392">
        <w:rPr>
          <w:rFonts w:ascii="Bookman Old Style" w:hAnsi="Bookman Old Style" w:cs="Times New Roman"/>
          <w:i/>
          <w:iCs/>
          <w:sz w:val="28"/>
          <w:szCs w:val="28"/>
          <w:lang w:val="el-GR"/>
        </w:rPr>
        <w:t xml:space="preserve">. </w:t>
      </w:r>
      <w:r>
        <w:rPr>
          <w:rFonts w:ascii="Bookman Old Style" w:hAnsi="Bookman Old Style" w:cs="Times New Roman"/>
          <w:i/>
          <w:iCs/>
          <w:sz w:val="28"/>
          <w:szCs w:val="28"/>
        </w:rPr>
        <w:t>Temple</w:t>
      </w:r>
      <w:r w:rsidRPr="00061392">
        <w:rPr>
          <w:rFonts w:ascii="Bookman Old Style" w:hAnsi="Bookman Old Style" w:cs="Times New Roman"/>
          <w:i/>
          <w:iCs/>
          <w:sz w:val="28"/>
          <w:szCs w:val="28"/>
          <w:lang w:val="el-GR"/>
        </w:rPr>
        <w:t xml:space="preserve"> </w:t>
      </w:r>
      <w:r>
        <w:rPr>
          <w:rFonts w:ascii="Bookman Old Style" w:hAnsi="Bookman Old Style" w:cs="Times New Roman"/>
          <w:i/>
          <w:iCs/>
          <w:sz w:val="28"/>
          <w:szCs w:val="28"/>
        </w:rPr>
        <w:t>Court</w:t>
      </w:r>
      <w:r w:rsidRPr="00061392">
        <w:rPr>
          <w:rFonts w:ascii="Bookman Old Style" w:hAnsi="Bookman Old Style" w:cs="Times New Roman"/>
          <w:i/>
          <w:iCs/>
          <w:sz w:val="28"/>
          <w:szCs w:val="28"/>
          <w:lang w:val="el-GR"/>
        </w:rPr>
        <w:t xml:space="preserve"> </w:t>
      </w:r>
      <w:r>
        <w:rPr>
          <w:rFonts w:ascii="Bookman Old Style" w:hAnsi="Bookman Old Style" w:cs="Times New Roman"/>
          <w:i/>
          <w:iCs/>
          <w:sz w:val="28"/>
          <w:szCs w:val="28"/>
        </w:rPr>
        <w:t>Chambers</w:t>
      </w:r>
      <w:r w:rsidRPr="00061392">
        <w:rPr>
          <w:rFonts w:ascii="Bookman Old Style" w:hAnsi="Bookman Old Style" w:cs="Times New Roman"/>
          <w:i/>
          <w:iCs/>
          <w:sz w:val="28"/>
          <w:szCs w:val="28"/>
          <w:lang w:val="el-GR"/>
        </w:rPr>
        <w:t xml:space="preserve"> </w:t>
      </w:r>
      <w:r>
        <w:rPr>
          <w:rFonts w:ascii="Bookman Old Style" w:hAnsi="Bookman Old Style" w:cs="Times New Roman"/>
          <w:i/>
          <w:iCs/>
          <w:sz w:val="28"/>
          <w:szCs w:val="28"/>
          <w:lang w:val="el-GR"/>
        </w:rPr>
        <w:t>και</w:t>
      </w:r>
      <w:r w:rsidRPr="00061392">
        <w:rPr>
          <w:rFonts w:ascii="Bookman Old Style" w:hAnsi="Bookman Old Style" w:cs="Times New Roman"/>
          <w:i/>
          <w:iCs/>
          <w:sz w:val="28"/>
          <w:szCs w:val="28"/>
          <w:lang w:val="el-GR"/>
        </w:rPr>
        <w:t xml:space="preserve"> </w:t>
      </w:r>
      <w:r>
        <w:rPr>
          <w:rFonts w:ascii="Bookman Old Style" w:hAnsi="Bookman Old Style" w:cs="Times New Roman"/>
          <w:i/>
          <w:iCs/>
          <w:sz w:val="28"/>
          <w:szCs w:val="28"/>
          <w:lang w:val="el-GR"/>
        </w:rPr>
        <w:t>Γ</w:t>
      </w:r>
      <w:r w:rsidRPr="00061392">
        <w:rPr>
          <w:rFonts w:ascii="Bookman Old Style" w:hAnsi="Bookman Old Style" w:cs="Times New Roman"/>
          <w:i/>
          <w:iCs/>
          <w:sz w:val="28"/>
          <w:szCs w:val="28"/>
          <w:lang w:val="el-GR"/>
        </w:rPr>
        <w:t xml:space="preserve">. </w:t>
      </w:r>
      <w:proofErr w:type="spellStart"/>
      <w:r>
        <w:rPr>
          <w:rFonts w:ascii="Bookman Old Style" w:hAnsi="Bookman Old Style" w:cs="Times New Roman"/>
          <w:i/>
          <w:iCs/>
          <w:sz w:val="28"/>
          <w:szCs w:val="28"/>
          <w:lang w:val="el-GR"/>
        </w:rPr>
        <w:t>Μιντή</w:t>
      </w:r>
      <w:proofErr w:type="spellEnd"/>
      <w:r>
        <w:rPr>
          <w:rFonts w:ascii="Bookman Old Style" w:hAnsi="Bookman Old Style" w:cs="Times New Roman"/>
          <w:sz w:val="28"/>
          <w:szCs w:val="28"/>
          <w:lang w:val="el-GR"/>
        </w:rPr>
        <w:t>, για τους Εφεσίβλητους.</w:t>
      </w:r>
    </w:p>
    <w:p w14:paraId="6E7A575C" w14:textId="19658B92" w:rsidR="00061392" w:rsidRPr="00061392" w:rsidRDefault="00061392" w:rsidP="00061392">
      <w:pPr>
        <w:tabs>
          <w:tab w:val="left" w:pos="567"/>
        </w:tabs>
        <w:spacing w:line="276" w:lineRule="auto"/>
        <w:ind w:left="567"/>
        <w:jc w:val="center"/>
        <w:rPr>
          <w:rFonts w:ascii="Bookman Old Style" w:hAnsi="Bookman Old Style" w:cs="Times New Roman"/>
          <w:sz w:val="28"/>
          <w:szCs w:val="28"/>
          <w:lang w:val="el-GR"/>
        </w:rPr>
      </w:pPr>
      <w:r>
        <w:rPr>
          <w:rFonts w:ascii="Bookman Old Style" w:hAnsi="Bookman Old Style" w:cs="Times New Roman"/>
          <w:i/>
          <w:iCs/>
          <w:sz w:val="28"/>
          <w:szCs w:val="28"/>
          <w:lang w:val="el-GR"/>
        </w:rPr>
        <w:t>...............</w:t>
      </w:r>
    </w:p>
    <w:p w14:paraId="5B68F9D1" w14:textId="77777777" w:rsidR="006D7AB5" w:rsidRPr="00061392" w:rsidRDefault="006D7AB5" w:rsidP="006D7AB5">
      <w:pPr>
        <w:spacing w:line="276" w:lineRule="auto"/>
        <w:ind w:left="567"/>
        <w:rPr>
          <w:rFonts w:ascii="Bookman Old Style" w:hAnsi="Bookman Old Style" w:cs="Times New Roman"/>
          <w:sz w:val="28"/>
          <w:szCs w:val="28"/>
          <w:lang w:val="el-GR"/>
        </w:rPr>
      </w:pPr>
    </w:p>
    <w:p w14:paraId="6544B418" w14:textId="77777777" w:rsidR="006D7AB5" w:rsidRPr="00F743C7" w:rsidRDefault="006D7AB5" w:rsidP="006D7AB5">
      <w:pPr>
        <w:tabs>
          <w:tab w:val="left" w:pos="567"/>
        </w:tabs>
        <w:spacing w:after="0" w:line="276" w:lineRule="auto"/>
        <w:rPr>
          <w:rFonts w:ascii="Bookman Old Style" w:hAnsi="Bookman Old Style" w:cs="Times New Roman"/>
          <w:sz w:val="28"/>
          <w:szCs w:val="28"/>
          <w:lang w:val="el-GR"/>
        </w:rPr>
      </w:pPr>
      <w:r w:rsidRPr="00F743C7">
        <w:rPr>
          <w:rFonts w:ascii="Bookman Old Style" w:hAnsi="Bookman Old Style" w:cs="Times New Roman"/>
          <w:b/>
          <w:sz w:val="28"/>
          <w:szCs w:val="28"/>
          <w:lang w:val="el-GR"/>
        </w:rPr>
        <w:t>ΜΑΛΑΧΤΟΣ, Δ.:</w:t>
      </w:r>
      <w:r w:rsidRPr="00F743C7">
        <w:rPr>
          <w:rFonts w:ascii="Bookman Old Style" w:hAnsi="Bookman Old Style" w:cs="Times New Roman"/>
          <w:sz w:val="28"/>
          <w:szCs w:val="28"/>
          <w:lang w:val="el-GR"/>
        </w:rPr>
        <w:t xml:space="preserve"> Η απόφαση του Δικαστηρίου είναι ομόφωνη και </w:t>
      </w:r>
    </w:p>
    <w:p w14:paraId="17BDEF83" w14:textId="77777777" w:rsidR="006D7AB5" w:rsidRPr="00F743C7" w:rsidRDefault="006D7AB5" w:rsidP="006D7AB5">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w:t>
      </w:r>
      <w:proofErr w:type="spellStart"/>
      <w:r w:rsidRPr="00F743C7">
        <w:rPr>
          <w:rFonts w:ascii="Bookman Old Style" w:hAnsi="Bookman Old Style" w:cs="Times New Roman"/>
          <w:sz w:val="28"/>
          <w:szCs w:val="28"/>
          <w:lang w:val="el-GR"/>
        </w:rPr>
        <w:t>Εφραίμ</w:t>
      </w:r>
      <w:proofErr w:type="spellEnd"/>
      <w:r w:rsidRPr="00F743C7">
        <w:rPr>
          <w:rFonts w:ascii="Bookman Old Style" w:hAnsi="Bookman Old Style" w:cs="Times New Roman"/>
          <w:sz w:val="28"/>
          <w:szCs w:val="28"/>
          <w:lang w:val="el-GR"/>
        </w:rPr>
        <w:t>, Δ.</w:t>
      </w:r>
    </w:p>
    <w:p w14:paraId="6C9A328E" w14:textId="77777777" w:rsidR="006D7AB5" w:rsidRDefault="006D7AB5" w:rsidP="006D7AB5">
      <w:pPr>
        <w:tabs>
          <w:tab w:val="left" w:pos="567"/>
        </w:tabs>
        <w:rPr>
          <w:rFonts w:ascii="Bookman Old Style" w:hAnsi="Bookman Old Style" w:cs="Times New Roman"/>
          <w:b/>
          <w:sz w:val="28"/>
          <w:szCs w:val="28"/>
          <w:u w:val="single"/>
          <w:lang w:val="el-GR"/>
        </w:rPr>
      </w:pPr>
    </w:p>
    <w:p w14:paraId="729253BD" w14:textId="77777777" w:rsidR="006D7AB5" w:rsidRPr="00F743C7" w:rsidRDefault="006D7AB5" w:rsidP="006D7AB5">
      <w:pPr>
        <w:tabs>
          <w:tab w:val="left" w:pos="567"/>
        </w:tabs>
        <w:rPr>
          <w:rFonts w:ascii="Bookman Old Style" w:hAnsi="Bookman Old Style" w:cs="Times New Roman"/>
          <w:b/>
          <w:sz w:val="28"/>
          <w:szCs w:val="28"/>
          <w:u w:val="single"/>
          <w:lang w:val="el-GR"/>
        </w:rPr>
      </w:pPr>
    </w:p>
    <w:p w14:paraId="72A37810" w14:textId="77777777" w:rsidR="006D7AB5" w:rsidRPr="00F743C7" w:rsidRDefault="006D7AB5" w:rsidP="006D7AB5">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lastRenderedPageBreak/>
        <w:t>Α Π Ο Φ Α Σ Η</w:t>
      </w:r>
    </w:p>
    <w:p w14:paraId="28C8FA4A" w14:textId="77777777" w:rsidR="00061392" w:rsidRDefault="00061392" w:rsidP="00061392">
      <w:pPr>
        <w:spacing w:line="240" w:lineRule="auto"/>
        <w:ind w:firstLine="567"/>
        <w:jc w:val="both"/>
        <w:rPr>
          <w:rFonts w:ascii="Bookman Old Style" w:hAnsi="Bookman Old Style" w:cs="Times New Roman"/>
          <w:b/>
          <w:sz w:val="28"/>
          <w:szCs w:val="28"/>
          <w:lang w:val="el-GR"/>
        </w:rPr>
      </w:pPr>
    </w:p>
    <w:p w14:paraId="79F6A8EF" w14:textId="6C7CC60E" w:rsidR="00446701" w:rsidRDefault="006D7AB5" w:rsidP="00F00108">
      <w:pPr>
        <w:spacing w:after="0" w:line="480" w:lineRule="auto"/>
        <w:ind w:firstLine="567"/>
        <w:jc w:val="both"/>
        <w:rPr>
          <w:rFonts w:ascii="Bookman Old Style" w:hAnsi="Bookman Old Style"/>
          <w:sz w:val="28"/>
          <w:szCs w:val="28"/>
          <w:lang w:val="el-GR"/>
        </w:rPr>
      </w:pPr>
      <w:r w:rsidRPr="00F743C7">
        <w:rPr>
          <w:rFonts w:ascii="Bookman Old Style" w:hAnsi="Bookman Old Style" w:cs="Times New Roman"/>
          <w:b/>
          <w:sz w:val="28"/>
          <w:szCs w:val="28"/>
          <w:lang w:val="el-GR"/>
        </w:rPr>
        <w:t xml:space="preserve">ΕΦΡΑΙΜ, Δ.: </w:t>
      </w:r>
      <w:r w:rsidR="00110700">
        <w:rPr>
          <w:rFonts w:ascii="Bookman Old Style" w:hAnsi="Bookman Old Style"/>
          <w:sz w:val="28"/>
          <w:szCs w:val="28"/>
          <w:lang w:val="el-GR"/>
        </w:rPr>
        <w:t xml:space="preserve">Η παρούσα Έφεση στρέφεται εναντίον απόφασης με την οποία η </w:t>
      </w:r>
      <w:r w:rsidR="00136116">
        <w:rPr>
          <w:rFonts w:ascii="Bookman Old Style" w:hAnsi="Bookman Old Style"/>
          <w:sz w:val="28"/>
          <w:szCs w:val="28"/>
          <w:lang w:val="el-GR"/>
        </w:rPr>
        <w:t>α</w:t>
      </w:r>
      <w:r w:rsidR="00110700">
        <w:rPr>
          <w:rFonts w:ascii="Bookman Old Style" w:hAnsi="Bookman Old Style"/>
          <w:sz w:val="28"/>
          <w:szCs w:val="28"/>
          <w:lang w:val="el-GR"/>
        </w:rPr>
        <w:t xml:space="preserve">γωγή </w:t>
      </w:r>
      <w:proofErr w:type="spellStart"/>
      <w:r w:rsidR="00110700">
        <w:rPr>
          <w:rFonts w:ascii="Bookman Old Style" w:hAnsi="Bookman Old Style"/>
          <w:sz w:val="28"/>
          <w:szCs w:val="28"/>
          <w:lang w:val="el-GR"/>
        </w:rPr>
        <w:t>απερρίφθη</w:t>
      </w:r>
      <w:proofErr w:type="spellEnd"/>
      <w:r w:rsidR="00110700">
        <w:rPr>
          <w:rFonts w:ascii="Bookman Old Style" w:hAnsi="Bookman Old Style"/>
          <w:sz w:val="28"/>
          <w:szCs w:val="28"/>
          <w:lang w:val="el-GR"/>
        </w:rPr>
        <w:t xml:space="preserve"> στη βάση του ότι η </w:t>
      </w:r>
      <w:proofErr w:type="spellStart"/>
      <w:r w:rsidR="00110700">
        <w:rPr>
          <w:rFonts w:ascii="Bookman Old Style" w:hAnsi="Bookman Old Style"/>
          <w:sz w:val="28"/>
          <w:szCs w:val="28"/>
          <w:lang w:val="el-GR"/>
        </w:rPr>
        <w:t>Ε</w:t>
      </w:r>
      <w:r w:rsidR="00905C0F">
        <w:rPr>
          <w:rFonts w:ascii="Bookman Old Style" w:hAnsi="Bookman Old Style"/>
          <w:sz w:val="28"/>
          <w:szCs w:val="28"/>
          <w:lang w:val="el-GR"/>
        </w:rPr>
        <w:t>φεσείουσα</w:t>
      </w:r>
      <w:proofErr w:type="spellEnd"/>
      <w:r w:rsidR="00905C0F">
        <w:rPr>
          <w:rFonts w:ascii="Bookman Old Style" w:hAnsi="Bookman Old Style"/>
          <w:sz w:val="28"/>
          <w:szCs w:val="28"/>
          <w:lang w:val="el-GR"/>
        </w:rPr>
        <w:t xml:space="preserve"> </w:t>
      </w:r>
      <w:r w:rsidR="00110700">
        <w:rPr>
          <w:rFonts w:ascii="Bookman Old Style" w:hAnsi="Bookman Old Style"/>
          <w:sz w:val="28"/>
          <w:szCs w:val="28"/>
          <w:lang w:val="el-GR"/>
        </w:rPr>
        <w:t xml:space="preserve">δεν απέσεισε το βάρος απόδειξης της απαίτησης </w:t>
      </w:r>
      <w:r w:rsidR="00376302">
        <w:rPr>
          <w:rFonts w:ascii="Bookman Old Style" w:hAnsi="Bookman Old Style"/>
          <w:sz w:val="28"/>
          <w:szCs w:val="28"/>
          <w:lang w:val="el-GR"/>
        </w:rPr>
        <w:t>της</w:t>
      </w:r>
      <w:r w:rsidR="00110700">
        <w:rPr>
          <w:rFonts w:ascii="Bookman Old Style" w:hAnsi="Bookman Old Style"/>
          <w:sz w:val="28"/>
          <w:szCs w:val="28"/>
          <w:lang w:val="el-GR"/>
        </w:rPr>
        <w:t>.</w:t>
      </w:r>
      <w:r w:rsidR="00376302">
        <w:rPr>
          <w:rFonts w:ascii="Bookman Old Style" w:hAnsi="Bookman Old Style"/>
          <w:sz w:val="28"/>
          <w:szCs w:val="28"/>
          <w:lang w:val="el-GR"/>
        </w:rPr>
        <w:t xml:space="preserve"> </w:t>
      </w:r>
    </w:p>
    <w:p w14:paraId="67BAB940" w14:textId="77777777" w:rsidR="00F00108" w:rsidRDefault="00F00108" w:rsidP="00F00108">
      <w:pPr>
        <w:spacing w:after="0" w:line="240" w:lineRule="auto"/>
        <w:ind w:firstLine="567"/>
        <w:jc w:val="both"/>
        <w:rPr>
          <w:rFonts w:ascii="Bookman Old Style" w:hAnsi="Bookman Old Style"/>
          <w:sz w:val="28"/>
          <w:szCs w:val="28"/>
          <w:lang w:val="el-GR"/>
        </w:rPr>
      </w:pPr>
    </w:p>
    <w:p w14:paraId="791E2A8A" w14:textId="77777777" w:rsidR="00F00108" w:rsidRDefault="00376302" w:rsidP="00F00108">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proofErr w:type="spellStart"/>
      <w:r w:rsidR="00E12ED5">
        <w:rPr>
          <w:rFonts w:ascii="Bookman Old Style" w:hAnsi="Bookman Old Style"/>
          <w:sz w:val="28"/>
          <w:szCs w:val="28"/>
          <w:lang w:val="el-GR"/>
        </w:rPr>
        <w:t>Εφεσείουσα</w:t>
      </w:r>
      <w:proofErr w:type="spellEnd"/>
      <w:r w:rsidR="00E12ED5">
        <w:rPr>
          <w:rFonts w:ascii="Bookman Old Style" w:hAnsi="Bookman Old Style"/>
          <w:sz w:val="28"/>
          <w:szCs w:val="28"/>
          <w:lang w:val="el-GR"/>
        </w:rPr>
        <w:t xml:space="preserve"> </w:t>
      </w:r>
      <w:r w:rsidR="00136116">
        <w:rPr>
          <w:rFonts w:ascii="Bookman Old Style" w:hAnsi="Bookman Old Style"/>
          <w:sz w:val="28"/>
          <w:szCs w:val="28"/>
          <w:lang w:val="el-GR"/>
        </w:rPr>
        <w:t xml:space="preserve">εταιρεία </w:t>
      </w:r>
      <w:r w:rsidR="00E12ED5">
        <w:rPr>
          <w:rFonts w:ascii="Bookman Old Style" w:hAnsi="Bookman Old Style"/>
          <w:sz w:val="28"/>
          <w:szCs w:val="28"/>
          <w:lang w:val="el-GR"/>
        </w:rPr>
        <w:t xml:space="preserve">αξίωνε το ποσό των </w:t>
      </w:r>
      <w:r w:rsidR="008D1E96">
        <w:rPr>
          <w:rFonts w:ascii="Bookman Old Style" w:hAnsi="Bookman Old Style"/>
          <w:sz w:val="28"/>
          <w:szCs w:val="28"/>
          <w:lang w:val="el-GR"/>
        </w:rPr>
        <w:t xml:space="preserve">€32.735,70 </w:t>
      </w:r>
      <w:r w:rsidR="00446701">
        <w:rPr>
          <w:rFonts w:ascii="Bookman Old Style" w:hAnsi="Bookman Old Style"/>
          <w:sz w:val="28"/>
          <w:szCs w:val="28"/>
          <w:lang w:val="el-GR"/>
        </w:rPr>
        <w:t xml:space="preserve">το οποίο κατ’ ισχυρισμό της αντιπροσώπευε το ποσό των στοιχημάτων </w:t>
      </w:r>
      <w:r w:rsidR="00097B49">
        <w:rPr>
          <w:rFonts w:ascii="Bookman Old Style" w:hAnsi="Bookman Old Style"/>
          <w:sz w:val="28"/>
          <w:szCs w:val="28"/>
          <w:lang w:val="el-GR"/>
        </w:rPr>
        <w:t>σ</w:t>
      </w:r>
      <w:r w:rsidR="00446701">
        <w:rPr>
          <w:rFonts w:ascii="Bookman Old Style" w:hAnsi="Bookman Old Style"/>
          <w:sz w:val="28"/>
          <w:szCs w:val="28"/>
          <w:lang w:val="el-GR"/>
        </w:rPr>
        <w:t xml:space="preserve">τα οποία ο Εφεσίβλητος </w:t>
      </w:r>
      <w:r w:rsidR="00097B49">
        <w:rPr>
          <w:rFonts w:ascii="Bookman Old Style" w:hAnsi="Bookman Old Style"/>
          <w:sz w:val="28"/>
          <w:szCs w:val="28"/>
          <w:lang w:val="el-GR"/>
        </w:rPr>
        <w:t>προέβη</w:t>
      </w:r>
      <w:r w:rsidR="00446701">
        <w:rPr>
          <w:rFonts w:ascii="Bookman Old Style" w:hAnsi="Bookman Old Style"/>
          <w:sz w:val="28"/>
          <w:szCs w:val="28"/>
          <w:lang w:val="el-GR"/>
        </w:rPr>
        <w:t xml:space="preserve"> στο πρακτορείο στοιχημάτων της</w:t>
      </w:r>
      <w:r w:rsidR="00A37384">
        <w:rPr>
          <w:rFonts w:ascii="Bookman Old Style" w:hAnsi="Bookman Old Style"/>
          <w:sz w:val="28"/>
          <w:szCs w:val="28"/>
          <w:lang w:val="el-GR"/>
        </w:rPr>
        <w:t>, μέσω της Εφεσίβλητη</w:t>
      </w:r>
      <w:r w:rsidR="00090B58">
        <w:rPr>
          <w:rFonts w:ascii="Bookman Old Style" w:hAnsi="Bookman Old Style"/>
          <w:sz w:val="28"/>
          <w:szCs w:val="28"/>
          <w:lang w:val="el-GR"/>
        </w:rPr>
        <w:t>ς</w:t>
      </w:r>
      <w:r w:rsidR="007E2F09">
        <w:rPr>
          <w:rFonts w:ascii="Bookman Old Style" w:hAnsi="Bookman Old Style"/>
          <w:sz w:val="28"/>
          <w:szCs w:val="28"/>
          <w:lang w:val="el-GR"/>
        </w:rPr>
        <w:t xml:space="preserve">, </w:t>
      </w:r>
      <w:r w:rsidR="00090B58">
        <w:rPr>
          <w:rFonts w:ascii="Bookman Old Style" w:hAnsi="Bookman Old Style"/>
          <w:sz w:val="28"/>
          <w:szCs w:val="28"/>
          <w:lang w:val="el-GR"/>
        </w:rPr>
        <w:t xml:space="preserve">τότε υπάλληλου στο πρακτορείο, </w:t>
      </w:r>
      <w:r w:rsidR="007E2F09">
        <w:rPr>
          <w:rFonts w:ascii="Bookman Old Style" w:hAnsi="Bookman Old Style"/>
          <w:sz w:val="28"/>
          <w:szCs w:val="28"/>
          <w:lang w:val="el-GR"/>
        </w:rPr>
        <w:t xml:space="preserve">χωρίς τη συγκατάθεση της </w:t>
      </w:r>
      <w:proofErr w:type="spellStart"/>
      <w:r w:rsidR="007E2F09">
        <w:rPr>
          <w:rFonts w:ascii="Bookman Old Style" w:hAnsi="Bookman Old Style"/>
          <w:sz w:val="28"/>
          <w:szCs w:val="28"/>
          <w:lang w:val="el-GR"/>
        </w:rPr>
        <w:t>Εφεσείουσας</w:t>
      </w:r>
      <w:proofErr w:type="spellEnd"/>
      <w:r w:rsidR="007E2F09">
        <w:rPr>
          <w:rFonts w:ascii="Bookman Old Style" w:hAnsi="Bookman Old Style"/>
          <w:sz w:val="28"/>
          <w:szCs w:val="28"/>
          <w:lang w:val="el-GR"/>
        </w:rPr>
        <w:t xml:space="preserve"> η οποία ρητώς απαγόρευε </w:t>
      </w:r>
      <w:r w:rsidR="00480A2A">
        <w:rPr>
          <w:rFonts w:ascii="Bookman Old Style" w:hAnsi="Bookman Old Style"/>
          <w:sz w:val="28"/>
          <w:szCs w:val="28"/>
          <w:lang w:val="el-GR"/>
        </w:rPr>
        <w:t xml:space="preserve">την παροχή </w:t>
      </w:r>
      <w:r w:rsidR="007E2F09">
        <w:rPr>
          <w:rFonts w:ascii="Bookman Old Style" w:hAnsi="Bookman Old Style"/>
          <w:sz w:val="28"/>
          <w:szCs w:val="28"/>
          <w:lang w:val="el-GR"/>
        </w:rPr>
        <w:t>πιστώσε</w:t>
      </w:r>
      <w:r w:rsidR="00480A2A">
        <w:rPr>
          <w:rFonts w:ascii="Bookman Old Style" w:hAnsi="Bookman Old Style"/>
          <w:sz w:val="28"/>
          <w:szCs w:val="28"/>
          <w:lang w:val="el-GR"/>
        </w:rPr>
        <w:t>ων για στοιχήματα.</w:t>
      </w:r>
      <w:r w:rsidR="00A37384">
        <w:rPr>
          <w:rFonts w:ascii="Bookman Old Style" w:hAnsi="Bookman Old Style"/>
          <w:sz w:val="28"/>
          <w:szCs w:val="28"/>
          <w:lang w:val="el-GR"/>
        </w:rPr>
        <w:t xml:space="preserve"> Η </w:t>
      </w:r>
      <w:proofErr w:type="spellStart"/>
      <w:r w:rsidR="00A37384">
        <w:rPr>
          <w:rFonts w:ascii="Bookman Old Style" w:hAnsi="Bookman Old Style"/>
          <w:sz w:val="28"/>
          <w:szCs w:val="28"/>
          <w:lang w:val="el-GR"/>
        </w:rPr>
        <w:t>Εφεσείουσα</w:t>
      </w:r>
      <w:proofErr w:type="spellEnd"/>
      <w:r w:rsidR="00A37384">
        <w:rPr>
          <w:rFonts w:ascii="Bookman Old Style" w:hAnsi="Bookman Old Style"/>
          <w:sz w:val="28"/>
          <w:szCs w:val="28"/>
          <w:lang w:val="el-GR"/>
        </w:rPr>
        <w:t xml:space="preserve"> διεκδ</w:t>
      </w:r>
      <w:r w:rsidR="001459F0">
        <w:rPr>
          <w:rFonts w:ascii="Bookman Old Style" w:hAnsi="Bookman Old Style"/>
          <w:sz w:val="28"/>
          <w:szCs w:val="28"/>
          <w:lang w:val="el-GR"/>
        </w:rPr>
        <w:t>ίκησε</w:t>
      </w:r>
      <w:r w:rsidR="00A37384">
        <w:rPr>
          <w:rFonts w:ascii="Bookman Old Style" w:hAnsi="Bookman Old Style"/>
          <w:sz w:val="28"/>
          <w:szCs w:val="28"/>
          <w:lang w:val="el-GR"/>
        </w:rPr>
        <w:t xml:space="preserve"> το εν λόγω ποσό ως </w:t>
      </w:r>
      <w:r w:rsidR="007E2F09">
        <w:rPr>
          <w:rFonts w:ascii="Bookman Old Style" w:hAnsi="Bookman Old Style"/>
          <w:sz w:val="28"/>
          <w:szCs w:val="28"/>
          <w:lang w:val="el-GR"/>
        </w:rPr>
        <w:t xml:space="preserve">ποσό </w:t>
      </w:r>
      <w:r w:rsidR="00205C70">
        <w:rPr>
          <w:rFonts w:ascii="Bookman Old Style" w:hAnsi="Bookman Old Style"/>
          <w:sz w:val="28"/>
          <w:szCs w:val="28"/>
          <w:lang w:val="el-GR"/>
        </w:rPr>
        <w:t>το οποίο</w:t>
      </w:r>
      <w:r w:rsidR="00A37384">
        <w:rPr>
          <w:rFonts w:ascii="Bookman Old Style" w:hAnsi="Bookman Old Style"/>
          <w:sz w:val="28"/>
          <w:szCs w:val="28"/>
          <w:lang w:val="el-GR"/>
        </w:rPr>
        <w:t xml:space="preserve"> ιδιοποιήθηκαν οι Εφεσίβλητοι στα πλαίσια απάτης εις βάρος </w:t>
      </w:r>
      <w:r w:rsidR="007E2F09">
        <w:rPr>
          <w:rFonts w:ascii="Bookman Old Style" w:hAnsi="Bookman Old Style"/>
          <w:sz w:val="28"/>
          <w:szCs w:val="28"/>
          <w:lang w:val="el-GR"/>
        </w:rPr>
        <w:t xml:space="preserve">της και ή ως ζημιά προκληθείσα συνεπεία αμέλειας </w:t>
      </w:r>
      <w:r w:rsidR="00110A78">
        <w:rPr>
          <w:rFonts w:ascii="Bookman Old Style" w:hAnsi="Bookman Old Style"/>
          <w:sz w:val="28"/>
          <w:szCs w:val="28"/>
          <w:lang w:val="el-GR"/>
        </w:rPr>
        <w:t>της Εφεσίβλητης</w:t>
      </w:r>
      <w:r w:rsidR="00F50DBA">
        <w:rPr>
          <w:rFonts w:ascii="Bookman Old Style" w:hAnsi="Bookman Old Style"/>
          <w:sz w:val="28"/>
          <w:szCs w:val="28"/>
          <w:lang w:val="el-GR"/>
        </w:rPr>
        <w:t>.</w:t>
      </w:r>
    </w:p>
    <w:p w14:paraId="080BDD30" w14:textId="40A445FF" w:rsidR="0053366F" w:rsidRDefault="0053366F" w:rsidP="00F00108">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Η</w:t>
      </w:r>
      <w:r w:rsidR="00061392">
        <w:rPr>
          <w:rFonts w:ascii="Bookman Old Style" w:hAnsi="Bookman Old Style"/>
          <w:sz w:val="28"/>
          <w:szCs w:val="28"/>
          <w:lang w:val="el-GR"/>
        </w:rPr>
        <w:t xml:space="preserve"> </w:t>
      </w:r>
      <w:r>
        <w:rPr>
          <w:rFonts w:ascii="Bookman Old Style" w:hAnsi="Bookman Old Style"/>
          <w:sz w:val="28"/>
          <w:szCs w:val="28"/>
          <w:lang w:val="el-GR"/>
        </w:rPr>
        <w:t>Εφεσίβλητη</w:t>
      </w:r>
      <w:r w:rsidR="009A3D5D">
        <w:rPr>
          <w:rFonts w:ascii="Bookman Old Style" w:hAnsi="Bookman Old Style"/>
          <w:sz w:val="28"/>
          <w:szCs w:val="28"/>
          <w:lang w:val="el-GR"/>
        </w:rPr>
        <w:t xml:space="preserve"> </w:t>
      </w:r>
      <w:r>
        <w:rPr>
          <w:rFonts w:ascii="Bookman Old Style" w:hAnsi="Bookman Old Style"/>
          <w:sz w:val="28"/>
          <w:szCs w:val="28"/>
          <w:lang w:val="el-GR"/>
        </w:rPr>
        <w:t xml:space="preserve">καταχώρισε υπεράσπιση και ανταπαίτηση </w:t>
      </w:r>
      <w:r w:rsidR="009A3D5D">
        <w:rPr>
          <w:rFonts w:ascii="Bookman Old Style" w:hAnsi="Bookman Old Style"/>
          <w:sz w:val="28"/>
          <w:szCs w:val="28"/>
          <w:lang w:val="el-GR"/>
        </w:rPr>
        <w:t xml:space="preserve">διεκδικώντας </w:t>
      </w:r>
      <w:r w:rsidR="00136116">
        <w:rPr>
          <w:rFonts w:ascii="Bookman Old Style" w:hAnsi="Bookman Old Style"/>
          <w:sz w:val="28"/>
          <w:szCs w:val="28"/>
          <w:lang w:val="el-GR"/>
        </w:rPr>
        <w:t xml:space="preserve">οφειλόμενους </w:t>
      </w:r>
      <w:r w:rsidR="009A3D5D">
        <w:rPr>
          <w:rFonts w:ascii="Bookman Old Style" w:hAnsi="Bookman Old Style"/>
          <w:sz w:val="28"/>
          <w:szCs w:val="28"/>
          <w:lang w:val="el-GR"/>
        </w:rPr>
        <w:t>κατ’  ισχυρισμό μισθούς</w:t>
      </w:r>
      <w:r w:rsidR="00D00973">
        <w:rPr>
          <w:rFonts w:ascii="Bookman Old Style" w:hAnsi="Bookman Old Style"/>
          <w:sz w:val="28"/>
          <w:szCs w:val="28"/>
          <w:lang w:val="el-GR"/>
        </w:rPr>
        <w:t>.</w:t>
      </w:r>
      <w:r w:rsidR="009A3D5D">
        <w:rPr>
          <w:rFonts w:ascii="Bookman Old Style" w:hAnsi="Bookman Old Style"/>
          <w:sz w:val="28"/>
          <w:szCs w:val="28"/>
          <w:lang w:val="el-GR"/>
        </w:rPr>
        <w:t xml:space="preserve"> </w:t>
      </w:r>
      <w:r w:rsidR="00D00973">
        <w:rPr>
          <w:rFonts w:ascii="Bookman Old Style" w:hAnsi="Bookman Old Style"/>
          <w:sz w:val="28"/>
          <w:szCs w:val="28"/>
          <w:lang w:val="el-GR"/>
        </w:rPr>
        <w:t xml:space="preserve">Ο </w:t>
      </w:r>
      <w:r w:rsidR="009A3D5D">
        <w:rPr>
          <w:rFonts w:ascii="Bookman Old Style" w:hAnsi="Bookman Old Style"/>
          <w:sz w:val="28"/>
          <w:szCs w:val="28"/>
          <w:lang w:val="el-GR"/>
        </w:rPr>
        <w:t xml:space="preserve">Εφεσίβλητος καταχώρισε </w:t>
      </w:r>
      <w:r w:rsidR="00D00973">
        <w:rPr>
          <w:rFonts w:ascii="Bookman Old Style" w:hAnsi="Bookman Old Style"/>
          <w:sz w:val="28"/>
          <w:szCs w:val="28"/>
          <w:lang w:val="el-GR"/>
        </w:rPr>
        <w:t xml:space="preserve">ξεχωριστή </w:t>
      </w:r>
      <w:r w:rsidR="009A3D5D">
        <w:rPr>
          <w:rFonts w:ascii="Bookman Old Style" w:hAnsi="Bookman Old Style"/>
          <w:sz w:val="28"/>
          <w:szCs w:val="28"/>
          <w:lang w:val="el-GR"/>
        </w:rPr>
        <w:t xml:space="preserve">υπεράσπιση. </w:t>
      </w:r>
    </w:p>
    <w:p w14:paraId="4D3025A2" w14:textId="3E75330B" w:rsidR="009A3D5D" w:rsidRPr="00A37384" w:rsidRDefault="00011D9C" w:rsidP="00F00108">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Κατά την ακρόαση ο μοναδικό</w:t>
      </w:r>
      <w:r w:rsidR="00572D32">
        <w:rPr>
          <w:rFonts w:ascii="Bookman Old Style" w:hAnsi="Bookman Old Style"/>
          <w:sz w:val="28"/>
          <w:szCs w:val="28"/>
          <w:lang w:val="el-GR"/>
        </w:rPr>
        <w:t>ς</w:t>
      </w:r>
      <w:r>
        <w:rPr>
          <w:rFonts w:ascii="Bookman Old Style" w:hAnsi="Bookman Old Style"/>
          <w:sz w:val="28"/>
          <w:szCs w:val="28"/>
          <w:lang w:val="el-GR"/>
        </w:rPr>
        <w:t xml:space="preserve"> μάρτυρας ήταν ο διευθυντής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ενώ οι Εφεσίβλητοι δεν προσκόμισαν μαρτυρία. Το </w:t>
      </w:r>
      <w:r w:rsidR="009A3D5D">
        <w:rPr>
          <w:rFonts w:ascii="Bookman Old Style" w:hAnsi="Bookman Old Style"/>
          <w:sz w:val="28"/>
          <w:szCs w:val="28"/>
          <w:lang w:val="el-GR"/>
        </w:rPr>
        <w:lastRenderedPageBreak/>
        <w:t xml:space="preserve">πρωτόδικο Δικαστήριο απέρριψε τόσο την απαίτηση όσο και την ανταπαίτηση. </w:t>
      </w:r>
    </w:p>
    <w:p w14:paraId="4F176359" w14:textId="67225721" w:rsidR="002766DE" w:rsidRDefault="00136116" w:rsidP="00F00108">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Θ</w:t>
      </w:r>
      <w:r w:rsidR="00586333">
        <w:rPr>
          <w:rFonts w:ascii="Bookman Old Style" w:hAnsi="Bookman Old Style"/>
          <w:sz w:val="28"/>
          <w:szCs w:val="28"/>
          <w:lang w:val="el-GR"/>
        </w:rPr>
        <w:t xml:space="preserve">εωρούμε ορθότερο να εξετάσουμε πρώτα τους λόγους έφεσης οι οποίοι αφορούν στην αξιολόγηση της μαρτυρίας. </w:t>
      </w:r>
      <w:r w:rsidR="004A6606">
        <w:rPr>
          <w:rFonts w:ascii="Bookman Old Style" w:hAnsi="Bookman Old Style"/>
          <w:sz w:val="28"/>
          <w:szCs w:val="28"/>
          <w:lang w:val="el-GR"/>
        </w:rPr>
        <w:t>Με τον δεύτερο λόγο έφεσης αποδίδεται στο πρωτόδικο Δικαστήριο ότι</w:t>
      </w:r>
      <w:r w:rsidR="00376302">
        <w:rPr>
          <w:rFonts w:ascii="Bookman Old Style" w:hAnsi="Bookman Old Style"/>
          <w:sz w:val="28"/>
          <w:szCs w:val="28"/>
          <w:lang w:val="el-GR"/>
        </w:rPr>
        <w:t xml:space="preserve"> παρέλειψε να αξιολογήσει </w:t>
      </w:r>
      <w:r w:rsidR="004A6606">
        <w:rPr>
          <w:rFonts w:ascii="Bookman Old Style" w:hAnsi="Bookman Old Style"/>
          <w:sz w:val="28"/>
          <w:szCs w:val="28"/>
          <w:lang w:val="el-GR"/>
        </w:rPr>
        <w:t xml:space="preserve">τη </w:t>
      </w:r>
      <w:proofErr w:type="spellStart"/>
      <w:r w:rsidR="00376302">
        <w:rPr>
          <w:rFonts w:ascii="Bookman Old Style" w:hAnsi="Bookman Old Style"/>
          <w:sz w:val="28"/>
          <w:szCs w:val="28"/>
          <w:lang w:val="el-GR"/>
        </w:rPr>
        <w:t>δικογραφημένη</w:t>
      </w:r>
      <w:proofErr w:type="spellEnd"/>
      <w:r w:rsidR="00376302">
        <w:rPr>
          <w:rFonts w:ascii="Bookman Old Style" w:hAnsi="Bookman Old Style"/>
          <w:sz w:val="28"/>
          <w:szCs w:val="28"/>
          <w:lang w:val="el-GR"/>
        </w:rPr>
        <w:t xml:space="preserve"> θέση της Εφεσίβλητης  και τη</w:t>
      </w:r>
      <w:r w:rsidR="0053366F">
        <w:rPr>
          <w:rFonts w:ascii="Bookman Old Style" w:hAnsi="Bookman Old Style"/>
          <w:sz w:val="28"/>
          <w:szCs w:val="28"/>
          <w:lang w:val="el-GR"/>
        </w:rPr>
        <w:t xml:space="preserve"> </w:t>
      </w:r>
      <w:r w:rsidR="00376302">
        <w:rPr>
          <w:rFonts w:ascii="Bookman Old Style" w:hAnsi="Bookman Old Style"/>
          <w:sz w:val="28"/>
          <w:szCs w:val="28"/>
          <w:lang w:val="el-GR"/>
        </w:rPr>
        <w:t xml:space="preserve">μαρτυρία </w:t>
      </w:r>
      <w:r w:rsidR="004A6606">
        <w:rPr>
          <w:rFonts w:ascii="Bookman Old Style" w:hAnsi="Bookman Old Style"/>
          <w:sz w:val="28"/>
          <w:szCs w:val="28"/>
          <w:lang w:val="el-GR"/>
        </w:rPr>
        <w:t xml:space="preserve">πως </w:t>
      </w:r>
      <w:r w:rsidR="00EB3A9E">
        <w:rPr>
          <w:rFonts w:ascii="Bookman Old Style" w:hAnsi="Bookman Old Style"/>
          <w:sz w:val="28"/>
          <w:szCs w:val="28"/>
          <w:lang w:val="el-GR"/>
        </w:rPr>
        <w:t>η πίστωση που η Εφεσίβλητη έδωσε στον Εφεσίβλητο ήταν εν γνώσ</w:t>
      </w:r>
      <w:r w:rsidR="00064071">
        <w:rPr>
          <w:rFonts w:ascii="Bookman Old Style" w:hAnsi="Bookman Old Style"/>
          <w:sz w:val="28"/>
          <w:szCs w:val="28"/>
          <w:lang w:val="el-GR"/>
        </w:rPr>
        <w:t>ει</w:t>
      </w:r>
      <w:r w:rsidR="00EB3A9E">
        <w:rPr>
          <w:rFonts w:ascii="Bookman Old Style" w:hAnsi="Bookman Old Style"/>
          <w:sz w:val="28"/>
          <w:szCs w:val="28"/>
          <w:lang w:val="el-GR"/>
        </w:rPr>
        <w:t xml:space="preserve"> της </w:t>
      </w:r>
      <w:proofErr w:type="spellStart"/>
      <w:r w:rsidR="00EB3A9E">
        <w:rPr>
          <w:rFonts w:ascii="Bookman Old Style" w:hAnsi="Bookman Old Style"/>
          <w:sz w:val="28"/>
          <w:szCs w:val="28"/>
          <w:lang w:val="el-GR"/>
        </w:rPr>
        <w:t>Εφεσείουσας</w:t>
      </w:r>
      <w:proofErr w:type="spellEnd"/>
      <w:r w:rsidR="00EB3A9E">
        <w:rPr>
          <w:rFonts w:ascii="Bookman Old Style" w:hAnsi="Bookman Old Style"/>
          <w:sz w:val="28"/>
          <w:szCs w:val="28"/>
          <w:lang w:val="el-GR"/>
        </w:rPr>
        <w:t xml:space="preserve"> καθότι η Εφεσίβλητη είχε ενημερώσει τον </w:t>
      </w:r>
      <w:r>
        <w:rPr>
          <w:rFonts w:ascii="Bookman Old Style" w:hAnsi="Bookman Old Style"/>
          <w:sz w:val="28"/>
          <w:szCs w:val="28"/>
          <w:lang w:val="el-GR"/>
        </w:rPr>
        <w:t xml:space="preserve">διευθυντή της </w:t>
      </w:r>
      <w:proofErr w:type="spellStart"/>
      <w:r>
        <w:rPr>
          <w:rFonts w:ascii="Bookman Old Style" w:hAnsi="Bookman Old Style"/>
          <w:sz w:val="28"/>
          <w:szCs w:val="28"/>
          <w:lang w:val="el-GR"/>
        </w:rPr>
        <w:t>Εφεσείουσας</w:t>
      </w:r>
      <w:proofErr w:type="spellEnd"/>
      <w:r w:rsidR="00EB3A9E">
        <w:rPr>
          <w:rFonts w:ascii="Bookman Old Style" w:hAnsi="Bookman Old Style"/>
          <w:sz w:val="28"/>
          <w:szCs w:val="28"/>
          <w:lang w:val="el-GR"/>
        </w:rPr>
        <w:t xml:space="preserve"> </w:t>
      </w:r>
      <w:r w:rsidR="000303BE">
        <w:rPr>
          <w:rFonts w:ascii="Bookman Old Style" w:hAnsi="Bookman Old Style"/>
          <w:sz w:val="28"/>
          <w:szCs w:val="28"/>
          <w:lang w:val="el-GR"/>
        </w:rPr>
        <w:t xml:space="preserve">ότι του είχε δώσει πίστωση για το </w:t>
      </w:r>
      <w:r w:rsidR="00982D8A">
        <w:rPr>
          <w:rFonts w:ascii="Bookman Old Style" w:hAnsi="Bookman Old Style"/>
          <w:sz w:val="28"/>
          <w:szCs w:val="28"/>
          <w:lang w:val="el-GR"/>
        </w:rPr>
        <w:t xml:space="preserve">επίδικο </w:t>
      </w:r>
      <w:r w:rsidR="000303BE">
        <w:rPr>
          <w:rFonts w:ascii="Bookman Old Style" w:hAnsi="Bookman Old Style"/>
          <w:sz w:val="28"/>
          <w:szCs w:val="28"/>
          <w:lang w:val="el-GR"/>
        </w:rPr>
        <w:t>ποσό</w:t>
      </w:r>
      <w:r w:rsidR="00EB3A9E">
        <w:rPr>
          <w:rFonts w:ascii="Bookman Old Style" w:hAnsi="Bookman Old Style"/>
          <w:sz w:val="28"/>
          <w:szCs w:val="28"/>
          <w:lang w:val="el-GR"/>
        </w:rPr>
        <w:t xml:space="preserve">. </w:t>
      </w:r>
    </w:p>
    <w:p w14:paraId="613C1AC9" w14:textId="5392F369" w:rsidR="002E5CE4" w:rsidRPr="00F85E26" w:rsidRDefault="002E5CE4" w:rsidP="00F00108">
      <w:pPr>
        <w:tabs>
          <w:tab w:val="left" w:pos="567"/>
        </w:tabs>
        <w:spacing w:before="100" w:beforeAutospacing="1"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Έχει επανειλημμένα τονισθεί πως το Εφετείο επεμβαίνει μόνο σε εξαιρετικές περιπτώσεις στον τρόπο αξιολόγησης από το πρωτόδικο Δικαστήριο της αξιοπιστίας των μαρτύρων. Το ακόλουθο απόσπασμα από την υπόθεση </w:t>
      </w:r>
      <w:r w:rsidRPr="001D0A75">
        <w:rPr>
          <w:rFonts w:ascii="Bookman Old Style" w:hAnsi="Bookman Old Style"/>
          <w:b/>
          <w:bCs/>
          <w:i/>
          <w:iCs/>
          <w:sz w:val="28"/>
          <w:szCs w:val="28"/>
          <w:lang w:val="el-GR"/>
        </w:rPr>
        <w:t xml:space="preserve">Εργοληπτική Εταιρεία Αμφιάραος Λτδ </w:t>
      </w:r>
      <w:r w:rsidRPr="001D0A75">
        <w:rPr>
          <w:rFonts w:ascii="Bookman Old Style" w:hAnsi="Bookman Old Style"/>
          <w:b/>
          <w:bCs/>
          <w:i/>
          <w:iCs/>
          <w:sz w:val="28"/>
          <w:szCs w:val="28"/>
          <w:lang w:val="en-GB"/>
        </w:rPr>
        <w:t>v</w:t>
      </w:r>
      <w:r w:rsidRPr="001D0A75">
        <w:rPr>
          <w:rFonts w:ascii="Bookman Old Style" w:hAnsi="Bookman Old Style"/>
          <w:b/>
          <w:bCs/>
          <w:i/>
          <w:iCs/>
          <w:sz w:val="28"/>
          <w:szCs w:val="28"/>
          <w:lang w:val="el-GR"/>
        </w:rPr>
        <w:t xml:space="preserve">. </w:t>
      </w:r>
      <w:proofErr w:type="spellStart"/>
      <w:r w:rsidRPr="001D0A75">
        <w:rPr>
          <w:rFonts w:ascii="Bookman Old Style" w:hAnsi="Bookman Old Style"/>
          <w:b/>
          <w:bCs/>
          <w:i/>
          <w:iCs/>
          <w:sz w:val="28"/>
          <w:szCs w:val="28"/>
          <w:lang w:val="en-GB"/>
        </w:rPr>
        <w:t>Mikeilov</w:t>
      </w:r>
      <w:proofErr w:type="spellEnd"/>
      <w:r w:rsidRPr="001D0A75">
        <w:rPr>
          <w:rFonts w:ascii="Bookman Old Style" w:hAnsi="Bookman Old Style"/>
          <w:b/>
          <w:bCs/>
          <w:i/>
          <w:iCs/>
          <w:sz w:val="28"/>
          <w:szCs w:val="28"/>
          <w:lang w:val="el-GR"/>
        </w:rPr>
        <w:t xml:space="preserve">, Πολ. </w:t>
      </w:r>
      <w:proofErr w:type="spellStart"/>
      <w:r w:rsidRPr="001D0A75">
        <w:rPr>
          <w:rFonts w:ascii="Bookman Old Style" w:hAnsi="Bookman Old Style"/>
          <w:b/>
          <w:bCs/>
          <w:i/>
          <w:iCs/>
          <w:sz w:val="28"/>
          <w:szCs w:val="28"/>
          <w:lang w:val="el-GR"/>
        </w:rPr>
        <w:t>Έφ</w:t>
      </w:r>
      <w:proofErr w:type="spellEnd"/>
      <w:r w:rsidRPr="001D0A75">
        <w:rPr>
          <w:rFonts w:ascii="Bookman Old Style" w:hAnsi="Bookman Old Style"/>
          <w:b/>
          <w:bCs/>
          <w:i/>
          <w:iCs/>
          <w:sz w:val="28"/>
          <w:szCs w:val="28"/>
          <w:lang w:val="el-GR"/>
        </w:rPr>
        <w:t xml:space="preserve">. </w:t>
      </w:r>
      <w:proofErr w:type="spellStart"/>
      <w:r w:rsidRPr="001D0A75">
        <w:rPr>
          <w:rFonts w:ascii="Bookman Old Style" w:hAnsi="Bookman Old Style"/>
          <w:b/>
          <w:bCs/>
          <w:i/>
          <w:iCs/>
          <w:sz w:val="28"/>
          <w:szCs w:val="28"/>
          <w:lang w:val="el-GR"/>
        </w:rPr>
        <w:t>Αρ</w:t>
      </w:r>
      <w:proofErr w:type="spellEnd"/>
      <w:r w:rsidRPr="001D0A75">
        <w:rPr>
          <w:rFonts w:ascii="Bookman Old Style" w:hAnsi="Bookman Old Style"/>
          <w:b/>
          <w:bCs/>
          <w:i/>
          <w:iCs/>
          <w:sz w:val="28"/>
          <w:szCs w:val="28"/>
          <w:lang w:val="el-GR"/>
        </w:rPr>
        <w:t xml:space="preserve">. 173/12, </w:t>
      </w:r>
      <w:proofErr w:type="spellStart"/>
      <w:r w:rsidRPr="001D0A75">
        <w:rPr>
          <w:rFonts w:ascii="Bookman Old Style" w:hAnsi="Bookman Old Style"/>
          <w:b/>
          <w:bCs/>
          <w:i/>
          <w:iCs/>
          <w:sz w:val="28"/>
          <w:szCs w:val="28"/>
          <w:lang w:val="el-GR"/>
        </w:rPr>
        <w:t>ημερ</w:t>
      </w:r>
      <w:proofErr w:type="spellEnd"/>
      <w:r w:rsidRPr="001D0A75">
        <w:rPr>
          <w:rFonts w:ascii="Bookman Old Style" w:hAnsi="Bookman Old Style"/>
          <w:b/>
          <w:bCs/>
          <w:i/>
          <w:iCs/>
          <w:sz w:val="28"/>
          <w:szCs w:val="28"/>
          <w:lang w:val="el-GR"/>
        </w:rPr>
        <w:t>. 28.9.2018</w:t>
      </w:r>
      <w:r>
        <w:rPr>
          <w:rFonts w:ascii="Bookman Old Style" w:hAnsi="Bookman Old Style"/>
          <w:sz w:val="28"/>
          <w:szCs w:val="28"/>
          <w:lang w:val="el-GR"/>
        </w:rPr>
        <w:t>, είναι διαφωτιστικό</w:t>
      </w:r>
      <w:r w:rsidRPr="00F85E26">
        <w:rPr>
          <w:rFonts w:ascii="Bookman Old Style" w:hAnsi="Bookman Old Style"/>
          <w:sz w:val="28"/>
          <w:szCs w:val="28"/>
          <w:lang w:val="el-GR"/>
        </w:rPr>
        <w:t>:</w:t>
      </w:r>
    </w:p>
    <w:p w14:paraId="6E37A728" w14:textId="25B7CE6E" w:rsidR="00267C43" w:rsidRPr="00267C43" w:rsidRDefault="002E5CE4" w:rsidP="00855E30">
      <w:pPr>
        <w:spacing w:before="100" w:beforeAutospacing="1" w:after="600" w:line="240" w:lineRule="auto"/>
        <w:ind w:left="720"/>
        <w:jc w:val="both"/>
        <w:rPr>
          <w:rFonts w:ascii="Bookman Old Style" w:hAnsi="Bookman Old Style"/>
          <w:color w:val="000000"/>
          <w:sz w:val="28"/>
          <w:szCs w:val="28"/>
          <w:lang w:val="el-GR"/>
        </w:rPr>
      </w:pPr>
      <w:r w:rsidRPr="00695AD6">
        <w:rPr>
          <w:rFonts w:ascii="Bookman Old Style" w:hAnsi="Bookman Old Style"/>
          <w:color w:val="000000"/>
          <w:sz w:val="28"/>
          <w:szCs w:val="28"/>
          <w:lang w:val="el-GR"/>
        </w:rPr>
        <w:t>«</w:t>
      </w:r>
      <w:r w:rsidRPr="00695AD6">
        <w:rPr>
          <w:rFonts w:ascii="Bookman Old Style" w:hAnsi="Bookman Old Style"/>
          <w:i/>
          <w:iCs/>
          <w:color w:val="000000"/>
          <w:sz w:val="28"/>
          <w:szCs w:val="28"/>
          <w:lang w:val="el-GR"/>
        </w:rPr>
        <w:t xml:space="preserve">Αποτελεί πάγια θέση της νομολογίας ότι ο τρόπος που αξιολογούνται οι μάρτυρες, αποτελεί ένα από τα πρωταρχικά καθήκοντα του πρωτόδικου δικαστηρίου, το οποίο είναι σε πλεονεκτική θέση να παρακολουθεί τους μάρτυρες στη ζωντανή ατμόσφαιρα της </w:t>
      </w:r>
      <w:r w:rsidRPr="00695AD6">
        <w:rPr>
          <w:rFonts w:ascii="Bookman Old Style" w:hAnsi="Bookman Old Style"/>
          <w:i/>
          <w:iCs/>
          <w:color w:val="000000"/>
          <w:sz w:val="28"/>
          <w:szCs w:val="28"/>
          <w:lang w:val="el-GR"/>
        </w:rPr>
        <w:lastRenderedPageBreak/>
        <w:t>δικαστικής αίθουσας με όλα τα συνακόλουθα ευεργετήματα (βλ.</w:t>
      </w:r>
      <w:r w:rsidR="00061392">
        <w:rPr>
          <w:rFonts w:ascii="Bookman Old Style" w:hAnsi="Bookman Old Style"/>
          <w:i/>
          <w:iCs/>
          <w:color w:val="000000"/>
          <w:sz w:val="28"/>
          <w:szCs w:val="28"/>
          <w:lang w:val="el-GR"/>
        </w:rPr>
        <w:t xml:space="preserve"> </w:t>
      </w:r>
      <w:proofErr w:type="spellStart"/>
      <w:r w:rsidRPr="00061392">
        <w:rPr>
          <w:rFonts w:ascii="Bookman Old Style" w:hAnsi="Bookman Old Style"/>
          <w:b/>
          <w:bCs/>
          <w:i/>
          <w:iCs/>
          <w:color w:val="000000"/>
          <w:sz w:val="28"/>
          <w:szCs w:val="28"/>
          <w:lang w:val="el-GR"/>
        </w:rPr>
        <w:t>Μάρκαρη</w:t>
      </w:r>
      <w:proofErr w:type="spellEnd"/>
      <w:r w:rsidRPr="00061392">
        <w:rPr>
          <w:rFonts w:ascii="Bookman Old Style" w:hAnsi="Bookman Old Style"/>
          <w:b/>
          <w:bCs/>
          <w:i/>
          <w:iCs/>
          <w:color w:val="000000"/>
          <w:sz w:val="28"/>
          <w:szCs w:val="28"/>
          <w:lang w:val="el-GR"/>
        </w:rPr>
        <w:t xml:space="preserve"> ν. Παρασκευά (2012) 1 (Β) ΑΑΔ 1493, </w:t>
      </w:r>
      <w:proofErr w:type="spellStart"/>
      <w:r w:rsidRPr="00061392">
        <w:rPr>
          <w:rFonts w:ascii="Bookman Old Style" w:hAnsi="Bookman Old Style"/>
          <w:b/>
          <w:bCs/>
          <w:i/>
          <w:iCs/>
          <w:color w:val="000000"/>
          <w:sz w:val="28"/>
          <w:szCs w:val="28"/>
          <w:lang w:val="el-GR"/>
        </w:rPr>
        <w:t>Τσιαττές</w:t>
      </w:r>
      <w:proofErr w:type="spellEnd"/>
      <w:r w:rsidRPr="00061392">
        <w:rPr>
          <w:rFonts w:ascii="Bookman Old Style" w:hAnsi="Bookman Old Style"/>
          <w:b/>
          <w:bCs/>
          <w:i/>
          <w:iCs/>
          <w:color w:val="000000"/>
          <w:sz w:val="28"/>
          <w:szCs w:val="28"/>
          <w:lang w:val="el-GR"/>
        </w:rPr>
        <w:t xml:space="preserve"> ν. Κ.</w:t>
      </w:r>
      <w:r w:rsidR="00061392">
        <w:rPr>
          <w:rFonts w:ascii="Bookman Old Style" w:hAnsi="Bookman Old Style"/>
          <w:b/>
          <w:bCs/>
          <w:i/>
          <w:iCs/>
          <w:color w:val="000000"/>
          <w:sz w:val="28"/>
          <w:szCs w:val="28"/>
          <w:lang w:val="el-GR"/>
        </w:rPr>
        <w:t xml:space="preserve"> </w:t>
      </w:r>
      <w:proofErr w:type="spellStart"/>
      <w:r w:rsidRPr="00695AD6">
        <w:rPr>
          <w:rFonts w:ascii="Bookman Old Style" w:hAnsi="Bookman Old Style"/>
          <w:b/>
          <w:bCs/>
          <w:i/>
          <w:iCs/>
          <w:color w:val="000000"/>
          <w:sz w:val="28"/>
          <w:szCs w:val="28"/>
        </w:rPr>
        <w:t>Solomonides</w:t>
      </w:r>
      <w:proofErr w:type="spellEnd"/>
      <w:r w:rsidR="00061392">
        <w:rPr>
          <w:rFonts w:ascii="Bookman Old Style" w:hAnsi="Bookman Old Style"/>
          <w:b/>
          <w:bCs/>
          <w:i/>
          <w:iCs/>
          <w:color w:val="000000"/>
          <w:sz w:val="28"/>
          <w:szCs w:val="28"/>
          <w:lang w:val="el-GR"/>
        </w:rPr>
        <w:t xml:space="preserve"> </w:t>
      </w:r>
      <w:r w:rsidRPr="00061392">
        <w:rPr>
          <w:rFonts w:ascii="Bookman Old Style" w:hAnsi="Bookman Old Style"/>
          <w:b/>
          <w:bCs/>
          <w:i/>
          <w:iCs/>
          <w:color w:val="000000"/>
          <w:sz w:val="28"/>
          <w:szCs w:val="28"/>
          <w:lang w:val="el-GR"/>
        </w:rPr>
        <w:t>(</w:t>
      </w:r>
      <w:r w:rsidRPr="00695AD6">
        <w:rPr>
          <w:rFonts w:ascii="Bookman Old Style" w:hAnsi="Bookman Old Style"/>
          <w:b/>
          <w:bCs/>
          <w:i/>
          <w:iCs/>
          <w:color w:val="000000"/>
          <w:sz w:val="28"/>
          <w:szCs w:val="28"/>
        </w:rPr>
        <w:t>Cartridges</w:t>
      </w:r>
      <w:r w:rsidR="00061392">
        <w:rPr>
          <w:rFonts w:ascii="Bookman Old Style" w:hAnsi="Bookman Old Style"/>
          <w:b/>
          <w:bCs/>
          <w:i/>
          <w:iCs/>
          <w:color w:val="000000"/>
          <w:sz w:val="28"/>
          <w:szCs w:val="28"/>
          <w:lang w:val="el-GR"/>
        </w:rPr>
        <w:t xml:space="preserve"> </w:t>
      </w:r>
      <w:r w:rsidRPr="00695AD6">
        <w:rPr>
          <w:rFonts w:ascii="Bookman Old Style" w:hAnsi="Bookman Old Style"/>
          <w:b/>
          <w:bCs/>
          <w:i/>
          <w:iCs/>
          <w:color w:val="000000"/>
          <w:sz w:val="28"/>
          <w:szCs w:val="28"/>
        </w:rPr>
        <w:t>Industries</w:t>
      </w:r>
      <w:r w:rsidRPr="00061392">
        <w:rPr>
          <w:rFonts w:ascii="Bookman Old Style" w:hAnsi="Bookman Old Style"/>
          <w:b/>
          <w:bCs/>
          <w:i/>
          <w:iCs/>
          <w:color w:val="000000"/>
          <w:sz w:val="28"/>
          <w:szCs w:val="28"/>
          <w:lang w:val="el-GR"/>
        </w:rPr>
        <w:t>)</w:t>
      </w:r>
      <w:r w:rsidR="00061392">
        <w:rPr>
          <w:rFonts w:ascii="Bookman Old Style" w:hAnsi="Bookman Old Style"/>
          <w:b/>
          <w:bCs/>
          <w:i/>
          <w:iCs/>
          <w:color w:val="000000"/>
          <w:sz w:val="28"/>
          <w:szCs w:val="28"/>
          <w:lang w:val="el-GR"/>
        </w:rPr>
        <w:t xml:space="preserve"> </w:t>
      </w:r>
      <w:r w:rsidRPr="00695AD6">
        <w:rPr>
          <w:rFonts w:ascii="Bookman Old Style" w:hAnsi="Bookman Old Style"/>
          <w:b/>
          <w:bCs/>
          <w:i/>
          <w:iCs/>
          <w:color w:val="000000"/>
          <w:sz w:val="28"/>
          <w:szCs w:val="28"/>
        </w:rPr>
        <w:t>Ltd</w:t>
      </w:r>
      <w:r w:rsidR="00061392">
        <w:rPr>
          <w:rFonts w:ascii="Bookman Old Style" w:hAnsi="Bookman Old Style"/>
          <w:b/>
          <w:bCs/>
          <w:i/>
          <w:iCs/>
          <w:color w:val="000000"/>
          <w:sz w:val="28"/>
          <w:szCs w:val="28"/>
          <w:lang w:val="el-GR"/>
        </w:rPr>
        <w:t xml:space="preserve"> </w:t>
      </w:r>
      <w:r w:rsidRPr="00061392">
        <w:rPr>
          <w:rFonts w:ascii="Bookman Old Style" w:hAnsi="Bookman Old Style"/>
          <w:b/>
          <w:bCs/>
          <w:i/>
          <w:iCs/>
          <w:color w:val="000000"/>
          <w:sz w:val="28"/>
          <w:szCs w:val="28"/>
          <w:lang w:val="el-GR"/>
        </w:rPr>
        <w:t>(2009) 1</w:t>
      </w:r>
      <w:r w:rsidRPr="00695AD6">
        <w:rPr>
          <w:rFonts w:ascii="Bookman Old Style" w:hAnsi="Bookman Old Style"/>
          <w:b/>
          <w:bCs/>
          <w:i/>
          <w:iCs/>
          <w:color w:val="000000"/>
          <w:sz w:val="28"/>
          <w:szCs w:val="28"/>
        </w:rPr>
        <w:t>B</w:t>
      </w:r>
      <w:r w:rsidR="00061392">
        <w:rPr>
          <w:rFonts w:ascii="Bookman Old Style" w:hAnsi="Bookman Old Style"/>
          <w:b/>
          <w:bCs/>
          <w:i/>
          <w:iCs/>
          <w:color w:val="000000"/>
          <w:sz w:val="28"/>
          <w:szCs w:val="28"/>
          <w:lang w:val="el-GR"/>
        </w:rPr>
        <w:t xml:space="preserve"> </w:t>
      </w:r>
      <w:r w:rsidRPr="00061392">
        <w:rPr>
          <w:rFonts w:ascii="Bookman Old Style" w:hAnsi="Bookman Old Style"/>
          <w:b/>
          <w:bCs/>
          <w:i/>
          <w:iCs/>
          <w:color w:val="000000"/>
          <w:sz w:val="28"/>
          <w:szCs w:val="28"/>
          <w:lang w:val="el-GR"/>
        </w:rPr>
        <w:t>ΑΑΔ 974</w:t>
      </w:r>
      <w:r w:rsidR="00061392">
        <w:rPr>
          <w:rFonts w:ascii="Bookman Old Style" w:hAnsi="Bookman Old Style"/>
          <w:b/>
          <w:bCs/>
          <w:i/>
          <w:iCs/>
          <w:color w:val="000000"/>
          <w:sz w:val="28"/>
          <w:szCs w:val="28"/>
          <w:lang w:val="el-GR"/>
        </w:rPr>
        <w:t xml:space="preserve"> </w:t>
      </w:r>
      <w:r w:rsidRPr="00061392">
        <w:rPr>
          <w:rFonts w:ascii="Bookman Old Style" w:hAnsi="Bookman Old Style"/>
          <w:i/>
          <w:iCs/>
          <w:color w:val="000000"/>
          <w:sz w:val="28"/>
          <w:szCs w:val="28"/>
          <w:lang w:val="el-GR"/>
        </w:rPr>
        <w:t>και</w:t>
      </w:r>
      <w:r w:rsidR="00061392">
        <w:rPr>
          <w:rFonts w:ascii="Bookman Old Style" w:hAnsi="Bookman Old Style"/>
          <w:i/>
          <w:iCs/>
          <w:color w:val="000000"/>
          <w:sz w:val="28"/>
          <w:szCs w:val="28"/>
          <w:lang w:val="el-GR"/>
        </w:rPr>
        <w:t xml:space="preserve"> </w:t>
      </w:r>
      <w:r w:rsidRPr="00061392">
        <w:rPr>
          <w:rFonts w:ascii="Bookman Old Style" w:hAnsi="Bookman Old Style"/>
          <w:b/>
          <w:bCs/>
          <w:i/>
          <w:iCs/>
          <w:color w:val="000000"/>
          <w:sz w:val="28"/>
          <w:szCs w:val="28"/>
          <w:lang w:val="el-GR"/>
        </w:rPr>
        <w:t xml:space="preserve">Γρηγόρης Ιωαννίδης ν. Γεώργιου Χαραλαμπίδη, Πολ. </w:t>
      </w:r>
      <w:proofErr w:type="spellStart"/>
      <w:r w:rsidRPr="00061392">
        <w:rPr>
          <w:rFonts w:ascii="Bookman Old Style" w:hAnsi="Bookman Old Style"/>
          <w:b/>
          <w:bCs/>
          <w:i/>
          <w:iCs/>
          <w:color w:val="000000"/>
          <w:sz w:val="28"/>
          <w:szCs w:val="28"/>
          <w:lang w:val="el-GR"/>
        </w:rPr>
        <w:t>Εφ</w:t>
      </w:r>
      <w:proofErr w:type="spellEnd"/>
      <w:r w:rsidRPr="00061392">
        <w:rPr>
          <w:rFonts w:ascii="Bookman Old Style" w:hAnsi="Bookman Old Style"/>
          <w:b/>
          <w:bCs/>
          <w:i/>
          <w:iCs/>
          <w:color w:val="000000"/>
          <w:sz w:val="28"/>
          <w:szCs w:val="28"/>
          <w:lang w:val="el-GR"/>
        </w:rPr>
        <w:t xml:space="preserve">. 336/2012, </w:t>
      </w:r>
      <w:proofErr w:type="spellStart"/>
      <w:r w:rsidRPr="00061392">
        <w:rPr>
          <w:rFonts w:ascii="Bookman Old Style" w:hAnsi="Bookman Old Style"/>
          <w:b/>
          <w:bCs/>
          <w:i/>
          <w:iCs/>
          <w:color w:val="000000"/>
          <w:sz w:val="28"/>
          <w:szCs w:val="28"/>
          <w:lang w:val="el-GR"/>
        </w:rPr>
        <w:t>ημ</w:t>
      </w:r>
      <w:proofErr w:type="spellEnd"/>
      <w:r w:rsidRPr="00061392">
        <w:rPr>
          <w:rFonts w:ascii="Bookman Old Style" w:hAnsi="Bookman Old Style"/>
          <w:b/>
          <w:bCs/>
          <w:i/>
          <w:iCs/>
          <w:color w:val="000000"/>
          <w:sz w:val="28"/>
          <w:szCs w:val="28"/>
          <w:lang w:val="el-GR"/>
        </w:rPr>
        <w:t>. 10/7/2018</w:t>
      </w:r>
      <w:r w:rsidRPr="00061392">
        <w:rPr>
          <w:rFonts w:ascii="Bookman Old Style" w:hAnsi="Bookman Old Style"/>
          <w:i/>
          <w:iCs/>
          <w:color w:val="000000"/>
          <w:sz w:val="28"/>
          <w:szCs w:val="28"/>
          <w:lang w:val="el-GR"/>
        </w:rPr>
        <w:t>).</w:t>
      </w:r>
      <w:r w:rsidRPr="00695AD6">
        <w:rPr>
          <w:rFonts w:ascii="Bookman Old Style" w:hAnsi="Bookman Old Style"/>
          <w:i/>
          <w:iCs/>
          <w:color w:val="000000"/>
          <w:sz w:val="28"/>
          <w:szCs w:val="28"/>
          <w:lang w:val="el-GR"/>
        </w:rPr>
        <w:t>Το Εφετείο επεμβαίνει μόνο σε εξαιρετικές περιπτώσεις στον τρόπο που το δικαστήριο αξιολογεί την αξιοπιστία των μαρτύρων (βλ.</w:t>
      </w:r>
      <w:r w:rsidR="00061392">
        <w:rPr>
          <w:rFonts w:ascii="Bookman Old Style" w:hAnsi="Bookman Old Style"/>
          <w:i/>
          <w:iCs/>
          <w:color w:val="000000"/>
          <w:sz w:val="28"/>
          <w:szCs w:val="28"/>
          <w:lang w:val="el-GR"/>
        </w:rPr>
        <w:t xml:space="preserve"> </w:t>
      </w:r>
      <w:proofErr w:type="spellStart"/>
      <w:r w:rsidRPr="00695AD6">
        <w:rPr>
          <w:rFonts w:ascii="Bookman Old Style" w:hAnsi="Bookman Old Style"/>
          <w:b/>
          <w:bCs/>
          <w:i/>
          <w:iCs/>
          <w:color w:val="000000"/>
          <w:sz w:val="28"/>
          <w:szCs w:val="28"/>
          <w:lang w:val="el-GR"/>
        </w:rPr>
        <w:t>Πίτσιλλος</w:t>
      </w:r>
      <w:proofErr w:type="spellEnd"/>
      <w:r w:rsidRPr="00695AD6">
        <w:rPr>
          <w:rFonts w:ascii="Bookman Old Style" w:hAnsi="Bookman Old Style"/>
          <w:b/>
          <w:bCs/>
          <w:i/>
          <w:iCs/>
          <w:color w:val="000000"/>
          <w:sz w:val="28"/>
          <w:szCs w:val="28"/>
          <w:lang w:val="el-GR"/>
        </w:rPr>
        <w:t xml:space="preserve"> ν. Ευγενίου (1989) 1</w:t>
      </w:r>
      <w:r w:rsidRPr="00695AD6">
        <w:rPr>
          <w:rFonts w:ascii="Bookman Old Style" w:hAnsi="Bookman Old Style"/>
          <w:b/>
          <w:bCs/>
          <w:i/>
          <w:iCs/>
          <w:color w:val="000000"/>
          <w:sz w:val="28"/>
          <w:szCs w:val="28"/>
        </w:rPr>
        <w:t>E</w:t>
      </w:r>
      <w:r w:rsidR="00061392">
        <w:rPr>
          <w:rFonts w:ascii="Bookman Old Style" w:hAnsi="Bookman Old Style"/>
          <w:b/>
          <w:bCs/>
          <w:i/>
          <w:iCs/>
          <w:color w:val="000000"/>
          <w:sz w:val="28"/>
          <w:szCs w:val="28"/>
          <w:lang w:val="el-GR"/>
        </w:rPr>
        <w:t xml:space="preserve"> </w:t>
      </w:r>
      <w:r w:rsidRPr="00695AD6">
        <w:rPr>
          <w:rFonts w:ascii="Bookman Old Style" w:hAnsi="Bookman Old Style"/>
          <w:b/>
          <w:bCs/>
          <w:i/>
          <w:iCs/>
          <w:color w:val="000000"/>
          <w:sz w:val="28"/>
          <w:szCs w:val="28"/>
          <w:lang w:val="el-GR"/>
        </w:rPr>
        <w:t>ΑΑΔ 691</w:t>
      </w:r>
      <w:r w:rsidR="00061392">
        <w:rPr>
          <w:rFonts w:ascii="Bookman Old Style" w:hAnsi="Bookman Old Style"/>
          <w:b/>
          <w:bCs/>
          <w:i/>
          <w:iCs/>
          <w:color w:val="000000"/>
          <w:sz w:val="28"/>
          <w:szCs w:val="28"/>
          <w:lang w:val="el-GR"/>
        </w:rPr>
        <w:t xml:space="preserve"> </w:t>
      </w:r>
      <w:r w:rsidRPr="00695AD6">
        <w:rPr>
          <w:rFonts w:ascii="Bookman Old Style" w:hAnsi="Bookman Old Style"/>
          <w:i/>
          <w:iCs/>
          <w:color w:val="000000"/>
          <w:sz w:val="28"/>
          <w:szCs w:val="28"/>
          <w:lang w:val="el-GR"/>
        </w:rPr>
        <w:t>και</w:t>
      </w:r>
      <w:r w:rsidR="00061392">
        <w:rPr>
          <w:rFonts w:ascii="Bookman Old Style" w:hAnsi="Bookman Old Style"/>
          <w:i/>
          <w:iCs/>
          <w:color w:val="000000"/>
          <w:sz w:val="28"/>
          <w:szCs w:val="28"/>
          <w:lang w:val="el-GR"/>
        </w:rPr>
        <w:t xml:space="preserve"> </w:t>
      </w:r>
      <w:r w:rsidRPr="00695AD6">
        <w:rPr>
          <w:rFonts w:ascii="Bookman Old Style" w:hAnsi="Bookman Old Style"/>
          <w:b/>
          <w:bCs/>
          <w:i/>
          <w:iCs/>
          <w:color w:val="000000"/>
          <w:sz w:val="28"/>
          <w:szCs w:val="28"/>
          <w:lang w:val="el-GR"/>
        </w:rPr>
        <w:t xml:space="preserve">Γεώργιος &amp; Σπύρος </w:t>
      </w:r>
      <w:proofErr w:type="spellStart"/>
      <w:r w:rsidRPr="00695AD6">
        <w:rPr>
          <w:rFonts w:ascii="Bookman Old Style" w:hAnsi="Bookman Old Style"/>
          <w:b/>
          <w:bCs/>
          <w:i/>
          <w:iCs/>
          <w:color w:val="000000"/>
          <w:sz w:val="28"/>
          <w:szCs w:val="28"/>
          <w:lang w:val="el-GR"/>
        </w:rPr>
        <w:t>Τσαππή</w:t>
      </w:r>
      <w:proofErr w:type="spellEnd"/>
      <w:r w:rsidRPr="00695AD6">
        <w:rPr>
          <w:rFonts w:ascii="Bookman Old Style" w:hAnsi="Bookman Old Style"/>
          <w:b/>
          <w:bCs/>
          <w:i/>
          <w:iCs/>
          <w:color w:val="000000"/>
          <w:sz w:val="28"/>
          <w:szCs w:val="28"/>
          <w:lang w:val="el-GR"/>
        </w:rPr>
        <w:t xml:space="preserve"> </w:t>
      </w:r>
      <w:proofErr w:type="spellStart"/>
      <w:r w:rsidRPr="00695AD6">
        <w:rPr>
          <w:rFonts w:ascii="Bookman Old Style" w:hAnsi="Bookman Old Style"/>
          <w:b/>
          <w:bCs/>
          <w:i/>
          <w:iCs/>
          <w:color w:val="000000"/>
          <w:sz w:val="28"/>
          <w:szCs w:val="28"/>
          <w:lang w:val="el-GR"/>
        </w:rPr>
        <w:t>Λτδ</w:t>
      </w:r>
      <w:proofErr w:type="spellEnd"/>
      <w:r w:rsidRPr="00695AD6">
        <w:rPr>
          <w:rFonts w:ascii="Bookman Old Style" w:hAnsi="Bookman Old Style"/>
          <w:b/>
          <w:bCs/>
          <w:i/>
          <w:iCs/>
          <w:color w:val="000000"/>
          <w:sz w:val="28"/>
          <w:szCs w:val="28"/>
          <w:lang w:val="el-GR"/>
        </w:rPr>
        <w:t xml:space="preserve"> ν. Πολυβίου (2009) 1</w:t>
      </w:r>
      <w:r w:rsidRPr="00695AD6">
        <w:rPr>
          <w:rFonts w:ascii="Bookman Old Style" w:hAnsi="Bookman Old Style"/>
          <w:b/>
          <w:bCs/>
          <w:i/>
          <w:iCs/>
          <w:color w:val="000000"/>
          <w:sz w:val="28"/>
          <w:szCs w:val="28"/>
        </w:rPr>
        <w:t>A </w:t>
      </w:r>
      <w:r w:rsidRPr="00695AD6">
        <w:rPr>
          <w:rFonts w:ascii="Bookman Old Style" w:hAnsi="Bookman Old Style"/>
          <w:b/>
          <w:bCs/>
          <w:i/>
          <w:iCs/>
          <w:color w:val="000000"/>
          <w:sz w:val="28"/>
          <w:szCs w:val="28"/>
          <w:lang w:val="el-GR"/>
        </w:rPr>
        <w:t>ΑΑΔ 339</w:t>
      </w:r>
      <w:r w:rsidRPr="00061392">
        <w:rPr>
          <w:rFonts w:ascii="Bookman Old Style" w:hAnsi="Bookman Old Style"/>
          <w:i/>
          <w:iCs/>
          <w:color w:val="000000"/>
          <w:sz w:val="28"/>
          <w:szCs w:val="28"/>
          <w:lang w:val="el-GR"/>
        </w:rPr>
        <w:t>).</w:t>
      </w:r>
      <w:r w:rsidR="00061392">
        <w:rPr>
          <w:rFonts w:ascii="Bookman Old Style" w:hAnsi="Bookman Old Style"/>
          <w:b/>
          <w:bCs/>
          <w:i/>
          <w:iCs/>
          <w:color w:val="000000"/>
          <w:sz w:val="28"/>
          <w:szCs w:val="28"/>
          <w:lang w:val="el-GR"/>
        </w:rPr>
        <w:t xml:space="preserve"> </w:t>
      </w:r>
      <w:r w:rsidRPr="00695AD6">
        <w:rPr>
          <w:rFonts w:ascii="Bookman Old Style" w:hAnsi="Bookman Old Style"/>
          <w:i/>
          <w:iCs/>
          <w:color w:val="000000"/>
          <w:sz w:val="28"/>
          <w:szCs w:val="28"/>
          <w:lang w:val="el-GR"/>
        </w:rPr>
        <w:t>Αυτό γίνεται όταν το Δικαστήριο διαπιστώσει ότι τα συμπεράσματα του πρωτόδικου δικαστηρίου για την αξιοπιστία των μαρτύρων, αντικειμενικά κρίνοντας, δεν είναι ευλόγως επιτρεπτά, αντιστρατεύονται την κοινή λογική, δεν δικαιολογούνται από τη μαρτυρία, είναι εξ αντικειμένου ανυπόστατα ή όταν διαπιστώνονται αντιφάσεις ουσιαστικής μορφής. (βλ.</w:t>
      </w:r>
      <w:r w:rsidR="00061392">
        <w:rPr>
          <w:rFonts w:ascii="Bookman Old Style" w:hAnsi="Bookman Old Style"/>
          <w:i/>
          <w:iCs/>
          <w:color w:val="000000"/>
          <w:sz w:val="28"/>
          <w:szCs w:val="28"/>
          <w:lang w:val="el-GR"/>
        </w:rPr>
        <w:t xml:space="preserve"> </w:t>
      </w:r>
      <w:proofErr w:type="spellStart"/>
      <w:r w:rsidRPr="00695AD6">
        <w:rPr>
          <w:rFonts w:ascii="Bookman Old Style" w:hAnsi="Bookman Old Style"/>
          <w:b/>
          <w:bCs/>
          <w:i/>
          <w:iCs/>
          <w:color w:val="000000"/>
          <w:sz w:val="28"/>
          <w:szCs w:val="28"/>
          <w:lang w:val="el-GR"/>
        </w:rPr>
        <w:t>Γιάλλουρος</w:t>
      </w:r>
      <w:proofErr w:type="spellEnd"/>
      <w:r w:rsidRPr="00695AD6">
        <w:rPr>
          <w:rFonts w:ascii="Bookman Old Style" w:hAnsi="Bookman Old Style"/>
          <w:b/>
          <w:bCs/>
          <w:i/>
          <w:iCs/>
          <w:color w:val="000000"/>
          <w:sz w:val="28"/>
          <w:szCs w:val="28"/>
          <w:lang w:val="el-GR"/>
        </w:rPr>
        <w:t xml:space="preserve"> ν. Ψύλλου (2009) 1 ΑΑΔ 1552</w:t>
      </w:r>
      <w:r w:rsidR="00061392">
        <w:rPr>
          <w:rFonts w:ascii="Bookman Old Style" w:hAnsi="Bookman Old Style"/>
          <w:b/>
          <w:bCs/>
          <w:i/>
          <w:iCs/>
          <w:color w:val="000000"/>
          <w:sz w:val="28"/>
          <w:szCs w:val="28"/>
          <w:lang w:val="el-GR"/>
        </w:rPr>
        <w:t xml:space="preserve"> </w:t>
      </w:r>
      <w:r w:rsidRPr="00695AD6">
        <w:rPr>
          <w:rFonts w:ascii="Bookman Old Style" w:hAnsi="Bookman Old Style"/>
          <w:i/>
          <w:iCs/>
          <w:color w:val="000000"/>
          <w:sz w:val="28"/>
          <w:szCs w:val="28"/>
          <w:lang w:val="el-GR"/>
        </w:rPr>
        <w:t>και</w:t>
      </w:r>
      <w:r w:rsidR="00061392">
        <w:rPr>
          <w:rFonts w:ascii="Bookman Old Style" w:hAnsi="Bookman Old Style"/>
          <w:i/>
          <w:iCs/>
          <w:color w:val="000000"/>
          <w:sz w:val="28"/>
          <w:szCs w:val="28"/>
          <w:lang w:val="el-GR"/>
        </w:rPr>
        <w:t xml:space="preserve"> </w:t>
      </w:r>
      <w:r w:rsidRPr="00695AD6">
        <w:rPr>
          <w:rFonts w:ascii="Bookman Old Style" w:hAnsi="Bookman Old Style"/>
          <w:b/>
          <w:bCs/>
          <w:i/>
          <w:iCs/>
          <w:color w:val="000000"/>
          <w:sz w:val="28"/>
          <w:szCs w:val="28"/>
          <w:lang w:val="el-GR"/>
        </w:rPr>
        <w:t xml:space="preserve">Δήμος Παπαδόπουλος ν. Σωτήρη Παναγιώτου </w:t>
      </w:r>
      <w:proofErr w:type="spellStart"/>
      <w:r w:rsidRPr="00695AD6">
        <w:rPr>
          <w:rFonts w:ascii="Bookman Old Style" w:hAnsi="Bookman Old Style"/>
          <w:b/>
          <w:bCs/>
          <w:i/>
          <w:iCs/>
          <w:color w:val="000000"/>
          <w:sz w:val="28"/>
          <w:szCs w:val="28"/>
          <w:lang w:val="el-GR"/>
        </w:rPr>
        <w:t>Κο</w:t>
      </w:r>
      <w:proofErr w:type="spellEnd"/>
      <w:r w:rsidRPr="00695AD6">
        <w:rPr>
          <w:rFonts w:ascii="Bookman Old Style" w:hAnsi="Bookman Old Style"/>
          <w:b/>
          <w:bCs/>
          <w:i/>
          <w:iCs/>
          <w:color w:val="000000"/>
          <w:sz w:val="28"/>
          <w:szCs w:val="28"/>
          <w:lang w:val="el-GR"/>
        </w:rPr>
        <w:t xml:space="preserve"> </w:t>
      </w:r>
      <w:proofErr w:type="spellStart"/>
      <w:r w:rsidRPr="00695AD6">
        <w:rPr>
          <w:rFonts w:ascii="Bookman Old Style" w:hAnsi="Bookman Old Style"/>
          <w:b/>
          <w:bCs/>
          <w:i/>
          <w:iCs/>
          <w:color w:val="000000"/>
          <w:sz w:val="28"/>
          <w:szCs w:val="28"/>
          <w:lang w:val="el-GR"/>
        </w:rPr>
        <w:t>Λίμιτεδ</w:t>
      </w:r>
      <w:proofErr w:type="spellEnd"/>
      <w:r w:rsidRPr="00695AD6">
        <w:rPr>
          <w:rFonts w:ascii="Bookman Old Style" w:hAnsi="Bookman Old Style"/>
          <w:b/>
          <w:bCs/>
          <w:i/>
          <w:iCs/>
          <w:color w:val="000000"/>
          <w:sz w:val="28"/>
          <w:szCs w:val="28"/>
          <w:lang w:val="el-GR"/>
        </w:rPr>
        <w:t xml:space="preserve">, Πολ. </w:t>
      </w:r>
      <w:proofErr w:type="spellStart"/>
      <w:r w:rsidRPr="00695AD6">
        <w:rPr>
          <w:rFonts w:ascii="Bookman Old Style" w:hAnsi="Bookman Old Style"/>
          <w:b/>
          <w:bCs/>
          <w:i/>
          <w:iCs/>
          <w:color w:val="000000"/>
          <w:sz w:val="28"/>
          <w:szCs w:val="28"/>
          <w:lang w:val="el-GR"/>
        </w:rPr>
        <w:t>Έφ</w:t>
      </w:r>
      <w:proofErr w:type="spellEnd"/>
      <w:r w:rsidRPr="00695AD6">
        <w:rPr>
          <w:rFonts w:ascii="Bookman Old Style" w:hAnsi="Bookman Old Style"/>
          <w:b/>
          <w:bCs/>
          <w:i/>
          <w:iCs/>
          <w:color w:val="000000"/>
          <w:sz w:val="28"/>
          <w:szCs w:val="28"/>
          <w:lang w:val="el-GR"/>
        </w:rPr>
        <w:t xml:space="preserve">. 399/11, </w:t>
      </w:r>
      <w:proofErr w:type="spellStart"/>
      <w:r w:rsidRPr="00695AD6">
        <w:rPr>
          <w:rFonts w:ascii="Bookman Old Style" w:hAnsi="Bookman Old Style"/>
          <w:b/>
          <w:bCs/>
          <w:i/>
          <w:iCs/>
          <w:color w:val="000000"/>
          <w:sz w:val="28"/>
          <w:szCs w:val="28"/>
          <w:lang w:val="el-GR"/>
        </w:rPr>
        <w:t>ημ</w:t>
      </w:r>
      <w:proofErr w:type="spellEnd"/>
      <w:r w:rsidRPr="00695AD6">
        <w:rPr>
          <w:rFonts w:ascii="Bookman Old Style" w:hAnsi="Bookman Old Style"/>
          <w:b/>
          <w:bCs/>
          <w:i/>
          <w:iCs/>
          <w:color w:val="000000"/>
          <w:sz w:val="28"/>
          <w:szCs w:val="28"/>
          <w:lang w:val="el-GR"/>
        </w:rPr>
        <w:t>. 15/11/17).</w:t>
      </w:r>
      <w:r w:rsidRPr="00695AD6">
        <w:rPr>
          <w:rFonts w:ascii="Bookman Old Style" w:hAnsi="Bookman Old Style"/>
          <w:color w:val="000000"/>
          <w:sz w:val="28"/>
          <w:szCs w:val="28"/>
          <w:lang w:val="el-GR"/>
        </w:rPr>
        <w:t>»</w:t>
      </w:r>
    </w:p>
    <w:p w14:paraId="184C6429" w14:textId="77777777" w:rsidR="002E5CE4" w:rsidRPr="00451923" w:rsidRDefault="002E5CE4" w:rsidP="00F00108">
      <w:pPr>
        <w:tabs>
          <w:tab w:val="left" w:pos="567"/>
        </w:tabs>
        <w:spacing w:before="100" w:beforeAutospacing="1" w:after="0" w:line="480" w:lineRule="auto"/>
        <w:jc w:val="both"/>
        <w:rPr>
          <w:rFonts w:ascii="Bookman Old Style" w:hAnsi="Bookman Old Style"/>
          <w:b/>
          <w:bCs/>
          <w:sz w:val="28"/>
          <w:szCs w:val="28"/>
          <w:lang w:val="el-GR"/>
        </w:rPr>
      </w:pPr>
      <w:r>
        <w:rPr>
          <w:rFonts w:ascii="Bookman Old Style" w:hAnsi="Bookman Old Style"/>
          <w:color w:val="000000"/>
          <w:sz w:val="28"/>
          <w:szCs w:val="28"/>
          <w:lang w:val="el-GR"/>
        </w:rPr>
        <w:tab/>
        <w:t xml:space="preserve">Οι ίδιες αρχές υιοθετήθηκαν στην πιο πρόσφατη υπόθεση </w:t>
      </w:r>
      <w:r w:rsidRPr="001D0A75">
        <w:rPr>
          <w:rFonts w:ascii="Bookman Old Style" w:hAnsi="Bookman Old Style"/>
          <w:b/>
          <w:bCs/>
          <w:i/>
          <w:iCs/>
          <w:sz w:val="28"/>
          <w:szCs w:val="28"/>
        </w:rPr>
        <w:t>S</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K</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Master</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Developments</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Ltd</w:t>
      </w:r>
      <w:r w:rsidRPr="001D0A75">
        <w:rPr>
          <w:rFonts w:ascii="Bookman Old Style" w:hAnsi="Bookman Old Style"/>
          <w:b/>
          <w:bCs/>
          <w:i/>
          <w:iCs/>
          <w:sz w:val="28"/>
          <w:szCs w:val="28"/>
          <w:lang w:val="el-GR"/>
        </w:rPr>
        <w:t xml:space="preserve"> </w:t>
      </w:r>
      <w:r w:rsidRPr="001D0A75">
        <w:rPr>
          <w:rFonts w:ascii="Bookman Old Style" w:hAnsi="Bookman Old Style"/>
          <w:b/>
          <w:bCs/>
          <w:i/>
          <w:iCs/>
          <w:sz w:val="28"/>
          <w:szCs w:val="28"/>
        </w:rPr>
        <w:t>v</w:t>
      </w:r>
      <w:r w:rsidRPr="001D0A75">
        <w:rPr>
          <w:rFonts w:ascii="Bookman Old Style" w:hAnsi="Bookman Old Style"/>
          <w:b/>
          <w:bCs/>
          <w:i/>
          <w:iCs/>
          <w:sz w:val="28"/>
          <w:szCs w:val="28"/>
          <w:lang w:val="el-GR"/>
        </w:rPr>
        <w:t xml:space="preserve">. Κυρατζή κ.ά., Πολ. </w:t>
      </w:r>
      <w:proofErr w:type="spellStart"/>
      <w:r w:rsidRPr="001D0A75">
        <w:rPr>
          <w:rFonts w:ascii="Bookman Old Style" w:hAnsi="Bookman Old Style"/>
          <w:b/>
          <w:bCs/>
          <w:i/>
          <w:iCs/>
          <w:sz w:val="28"/>
          <w:szCs w:val="28"/>
          <w:lang w:val="el-GR"/>
        </w:rPr>
        <w:t>Έφ</w:t>
      </w:r>
      <w:proofErr w:type="spellEnd"/>
      <w:r w:rsidRPr="001D0A75">
        <w:rPr>
          <w:rFonts w:ascii="Bookman Old Style" w:hAnsi="Bookman Old Style"/>
          <w:b/>
          <w:bCs/>
          <w:i/>
          <w:iCs/>
          <w:sz w:val="28"/>
          <w:szCs w:val="28"/>
          <w:lang w:val="el-GR"/>
        </w:rPr>
        <w:t xml:space="preserve">. </w:t>
      </w:r>
      <w:proofErr w:type="spellStart"/>
      <w:r w:rsidRPr="001D0A75">
        <w:rPr>
          <w:rFonts w:ascii="Bookman Old Style" w:hAnsi="Bookman Old Style"/>
          <w:b/>
          <w:bCs/>
          <w:i/>
          <w:iCs/>
          <w:sz w:val="28"/>
          <w:szCs w:val="28"/>
          <w:lang w:val="el-GR"/>
        </w:rPr>
        <w:t>Αρ</w:t>
      </w:r>
      <w:proofErr w:type="spellEnd"/>
      <w:r w:rsidRPr="001D0A75">
        <w:rPr>
          <w:rFonts w:ascii="Bookman Old Style" w:hAnsi="Bookman Old Style"/>
          <w:b/>
          <w:bCs/>
          <w:i/>
          <w:iCs/>
          <w:sz w:val="28"/>
          <w:szCs w:val="28"/>
          <w:lang w:val="el-GR"/>
        </w:rPr>
        <w:t xml:space="preserve">. 49/15, </w:t>
      </w:r>
      <w:proofErr w:type="spellStart"/>
      <w:r w:rsidRPr="001D0A75">
        <w:rPr>
          <w:rFonts w:ascii="Bookman Old Style" w:hAnsi="Bookman Old Style"/>
          <w:b/>
          <w:bCs/>
          <w:i/>
          <w:iCs/>
          <w:sz w:val="28"/>
          <w:szCs w:val="28"/>
          <w:lang w:val="el-GR"/>
        </w:rPr>
        <w:t>ημερ</w:t>
      </w:r>
      <w:proofErr w:type="spellEnd"/>
      <w:r w:rsidRPr="001D0A75">
        <w:rPr>
          <w:rFonts w:ascii="Bookman Old Style" w:hAnsi="Bookman Old Style"/>
          <w:b/>
          <w:bCs/>
          <w:i/>
          <w:iCs/>
          <w:sz w:val="28"/>
          <w:szCs w:val="28"/>
          <w:lang w:val="el-GR"/>
        </w:rPr>
        <w:t>. 22.6.2023</w:t>
      </w:r>
      <w:r>
        <w:rPr>
          <w:rFonts w:ascii="Bookman Old Style" w:hAnsi="Bookman Old Style"/>
          <w:sz w:val="28"/>
          <w:szCs w:val="28"/>
          <w:lang w:val="el-GR"/>
        </w:rPr>
        <w:t>.</w:t>
      </w:r>
      <w:r w:rsidRPr="002313F2">
        <w:rPr>
          <w:rFonts w:ascii="Bookman Old Style" w:hAnsi="Bookman Old Style"/>
          <w:sz w:val="28"/>
          <w:szCs w:val="28"/>
          <w:lang w:val="el-GR"/>
        </w:rPr>
        <w:t xml:space="preserve"> </w:t>
      </w:r>
    </w:p>
    <w:p w14:paraId="0DE1B36D" w14:textId="4680D846" w:rsidR="00431CB8" w:rsidRDefault="00431CB8" w:rsidP="00F00108">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Θεωρούμε </w:t>
      </w:r>
      <w:r w:rsidR="00436B64">
        <w:rPr>
          <w:rFonts w:ascii="Bookman Old Style" w:hAnsi="Bookman Old Style"/>
          <w:sz w:val="28"/>
          <w:szCs w:val="28"/>
          <w:lang w:val="el-GR"/>
        </w:rPr>
        <w:t xml:space="preserve">αβάσιμο </w:t>
      </w:r>
      <w:r>
        <w:rPr>
          <w:rFonts w:ascii="Bookman Old Style" w:hAnsi="Bookman Old Style"/>
          <w:sz w:val="28"/>
          <w:szCs w:val="28"/>
          <w:lang w:val="el-GR"/>
        </w:rPr>
        <w:t xml:space="preserve">αυτόν τον λόγο. </w:t>
      </w:r>
      <w:r w:rsidR="003D7200">
        <w:rPr>
          <w:rFonts w:ascii="Bookman Old Style" w:hAnsi="Bookman Old Style"/>
          <w:sz w:val="28"/>
          <w:szCs w:val="28"/>
          <w:lang w:val="el-GR"/>
        </w:rPr>
        <w:t>Κατά την αξιολόγηση της μαρτυρίας, το πρωτόδικο Δικαστήριο επεσήμανε ότι στην υπεράσπιση της η Εφεσίβλητη αποδέχεται το ποσό της πίστωσης</w:t>
      </w:r>
      <w:r>
        <w:rPr>
          <w:rFonts w:ascii="Bookman Old Style" w:hAnsi="Bookman Old Style"/>
          <w:sz w:val="28"/>
          <w:szCs w:val="28"/>
          <w:lang w:val="el-GR"/>
        </w:rPr>
        <w:t xml:space="preserve">, σε αντιδιαστολή με τον Εφεσίβλητο ο οποίος αμφισβήτησε τόσο την ταυτότητα του προσώπου που στοιχημάτιζε επί πιστώσει όσο και το ύψος του ποσού της κατ’  ισχυρισμό πίστωσης. Το πρωτόδικο Δικαστήριο </w:t>
      </w:r>
      <w:r w:rsidR="005C5851">
        <w:rPr>
          <w:rFonts w:ascii="Bookman Old Style" w:hAnsi="Bookman Old Style"/>
          <w:sz w:val="28"/>
          <w:szCs w:val="28"/>
          <w:lang w:val="el-GR"/>
        </w:rPr>
        <w:t xml:space="preserve">αναφέρθηκε </w:t>
      </w:r>
      <w:r>
        <w:rPr>
          <w:rFonts w:ascii="Bookman Old Style" w:hAnsi="Bookman Old Style"/>
          <w:sz w:val="28"/>
          <w:szCs w:val="28"/>
          <w:lang w:val="el-GR"/>
        </w:rPr>
        <w:t xml:space="preserve">και </w:t>
      </w:r>
      <w:r w:rsidR="005C5851">
        <w:rPr>
          <w:rFonts w:ascii="Bookman Old Style" w:hAnsi="Bookman Old Style"/>
          <w:sz w:val="28"/>
          <w:szCs w:val="28"/>
          <w:lang w:val="el-GR"/>
        </w:rPr>
        <w:t>σ</w:t>
      </w:r>
      <w:r>
        <w:rPr>
          <w:rFonts w:ascii="Bookman Old Style" w:hAnsi="Bookman Old Style"/>
          <w:sz w:val="28"/>
          <w:szCs w:val="28"/>
          <w:lang w:val="el-GR"/>
        </w:rPr>
        <w:t xml:space="preserve">τον </w:t>
      </w:r>
      <w:proofErr w:type="spellStart"/>
      <w:r>
        <w:rPr>
          <w:rFonts w:ascii="Bookman Old Style" w:hAnsi="Bookman Old Style"/>
          <w:sz w:val="28"/>
          <w:szCs w:val="28"/>
          <w:lang w:val="el-GR"/>
        </w:rPr>
        <w:t>δικογραφημένο</w:t>
      </w:r>
      <w:proofErr w:type="spellEnd"/>
      <w:r>
        <w:rPr>
          <w:rFonts w:ascii="Bookman Old Style" w:hAnsi="Bookman Old Style"/>
          <w:sz w:val="28"/>
          <w:szCs w:val="28"/>
          <w:lang w:val="el-GR"/>
        </w:rPr>
        <w:t xml:space="preserve"> ισχυρισμό της Εφεσίβλητης ότι είναι εν γνώσει </w:t>
      </w:r>
      <w:r>
        <w:rPr>
          <w:rFonts w:ascii="Bookman Old Style" w:hAnsi="Bookman Old Style"/>
          <w:sz w:val="28"/>
          <w:szCs w:val="28"/>
          <w:lang w:val="el-GR"/>
        </w:rPr>
        <w:lastRenderedPageBreak/>
        <w:t xml:space="preserve">και κατόπιν οδηγιών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που έδινε πίστωση στον Εφεσίβλητο. Σημειώνουμε πως ουδέποτε ετέθη ζήτημα στα πλαίσια της μαρτυρίας του </w:t>
      </w:r>
      <w:r w:rsidR="00DB2313">
        <w:rPr>
          <w:rFonts w:ascii="Bookman Old Style" w:hAnsi="Bookman Old Style"/>
          <w:sz w:val="28"/>
          <w:szCs w:val="28"/>
          <w:lang w:val="el-GR"/>
        </w:rPr>
        <w:t xml:space="preserve">διευθυντή της </w:t>
      </w:r>
      <w:proofErr w:type="spellStart"/>
      <w:r w:rsidR="00DB2313">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ότι </w:t>
      </w:r>
      <w:r w:rsidR="008014B4">
        <w:rPr>
          <w:rFonts w:ascii="Bookman Old Style" w:hAnsi="Bookman Old Style"/>
          <w:sz w:val="28"/>
          <w:szCs w:val="28"/>
          <w:lang w:val="el-GR"/>
        </w:rPr>
        <w:t xml:space="preserve">η ίδια η Εφεσίβλητη τον είχε ενημερώσει για την πίστωση, </w:t>
      </w:r>
      <w:r w:rsidR="00183EFC">
        <w:rPr>
          <w:rFonts w:ascii="Bookman Old Style" w:hAnsi="Bookman Old Style"/>
          <w:sz w:val="28"/>
          <w:szCs w:val="28"/>
          <w:lang w:val="el-GR"/>
        </w:rPr>
        <w:t xml:space="preserve">ως </w:t>
      </w:r>
      <w:r w:rsidR="008014B4">
        <w:rPr>
          <w:rFonts w:ascii="Bookman Old Style" w:hAnsi="Bookman Old Style"/>
          <w:sz w:val="28"/>
          <w:szCs w:val="28"/>
          <w:lang w:val="el-GR"/>
        </w:rPr>
        <w:t xml:space="preserve">αναφέρεται στον δεύτερο λόγο έφεσης. </w:t>
      </w:r>
      <w:r w:rsidR="007C4FDF">
        <w:rPr>
          <w:rFonts w:ascii="Bookman Old Style" w:hAnsi="Bookman Old Style"/>
          <w:sz w:val="28"/>
          <w:szCs w:val="28"/>
          <w:lang w:val="el-GR"/>
        </w:rPr>
        <w:t xml:space="preserve">Εκείνο το οποίο τέθηκε στην </w:t>
      </w:r>
      <w:proofErr w:type="spellStart"/>
      <w:r w:rsidR="007C4FDF">
        <w:rPr>
          <w:rFonts w:ascii="Bookman Old Style" w:hAnsi="Bookman Old Style"/>
          <w:sz w:val="28"/>
          <w:szCs w:val="28"/>
          <w:lang w:val="el-GR"/>
        </w:rPr>
        <w:t>αντεξέταση</w:t>
      </w:r>
      <w:proofErr w:type="spellEnd"/>
      <w:r w:rsidR="007C4FDF">
        <w:rPr>
          <w:rFonts w:ascii="Bookman Old Style" w:hAnsi="Bookman Old Style"/>
          <w:sz w:val="28"/>
          <w:szCs w:val="28"/>
          <w:lang w:val="el-GR"/>
        </w:rPr>
        <w:t xml:space="preserve"> του από τον δικηγόρο της Εφεσίβλητης ήταν </w:t>
      </w:r>
      <w:r w:rsidR="005461E5">
        <w:rPr>
          <w:rFonts w:ascii="Bookman Old Style" w:hAnsi="Bookman Old Style"/>
          <w:sz w:val="28"/>
          <w:szCs w:val="28"/>
          <w:lang w:val="el-GR"/>
        </w:rPr>
        <w:t xml:space="preserve">μόνο </w:t>
      </w:r>
      <w:r w:rsidR="00D121B2">
        <w:rPr>
          <w:rFonts w:ascii="Bookman Old Style" w:hAnsi="Bookman Old Style"/>
          <w:sz w:val="28"/>
          <w:szCs w:val="28"/>
          <w:lang w:val="el-GR"/>
        </w:rPr>
        <w:t xml:space="preserve">η </w:t>
      </w:r>
      <w:proofErr w:type="spellStart"/>
      <w:r w:rsidR="00D121B2">
        <w:rPr>
          <w:rFonts w:ascii="Bookman Old Style" w:hAnsi="Bookman Old Style"/>
          <w:sz w:val="28"/>
          <w:szCs w:val="28"/>
          <w:lang w:val="el-GR"/>
        </w:rPr>
        <w:t>δικογραφημένη</w:t>
      </w:r>
      <w:proofErr w:type="spellEnd"/>
      <w:r w:rsidR="00D121B2">
        <w:rPr>
          <w:rFonts w:ascii="Bookman Old Style" w:hAnsi="Bookman Old Style"/>
          <w:sz w:val="28"/>
          <w:szCs w:val="28"/>
          <w:lang w:val="el-GR"/>
        </w:rPr>
        <w:t xml:space="preserve"> της θέση </w:t>
      </w:r>
      <w:r w:rsidR="007C4FDF">
        <w:rPr>
          <w:rFonts w:ascii="Bookman Old Style" w:hAnsi="Bookman Old Style"/>
          <w:sz w:val="28"/>
          <w:szCs w:val="28"/>
          <w:lang w:val="el-GR"/>
        </w:rPr>
        <w:t xml:space="preserve">πως ο ίδιος </w:t>
      </w:r>
      <w:r w:rsidR="00BA0B41">
        <w:rPr>
          <w:rFonts w:ascii="Bookman Old Style" w:hAnsi="Bookman Old Style"/>
          <w:sz w:val="28"/>
          <w:szCs w:val="28"/>
          <w:lang w:val="el-GR"/>
        </w:rPr>
        <w:t xml:space="preserve">της </w:t>
      </w:r>
      <w:r w:rsidR="007C4FDF">
        <w:rPr>
          <w:rFonts w:ascii="Bookman Old Style" w:hAnsi="Bookman Old Style"/>
          <w:sz w:val="28"/>
          <w:szCs w:val="28"/>
          <w:lang w:val="el-GR"/>
        </w:rPr>
        <w:t>είχε δώσει προφορικ</w:t>
      </w:r>
      <w:r w:rsidR="000D6A48">
        <w:rPr>
          <w:rFonts w:ascii="Bookman Old Style" w:hAnsi="Bookman Old Style"/>
          <w:sz w:val="28"/>
          <w:szCs w:val="28"/>
          <w:lang w:val="el-GR"/>
        </w:rPr>
        <w:t>ά</w:t>
      </w:r>
      <w:r w:rsidR="007C4FDF">
        <w:rPr>
          <w:rFonts w:ascii="Bookman Old Style" w:hAnsi="Bookman Old Style"/>
          <w:sz w:val="28"/>
          <w:szCs w:val="28"/>
          <w:lang w:val="el-GR"/>
        </w:rPr>
        <w:t xml:space="preserve"> άδεια για να δέχεται στοιχήματα επί πιστώσει από τον Εφεσίβλητο, την οποία</w:t>
      </w:r>
      <w:r w:rsidR="00DB2313">
        <w:rPr>
          <w:rFonts w:ascii="Bookman Old Style" w:hAnsi="Bookman Old Style"/>
          <w:sz w:val="28"/>
          <w:szCs w:val="28"/>
          <w:lang w:val="el-GR"/>
        </w:rPr>
        <w:t xml:space="preserve"> αυτός</w:t>
      </w:r>
      <w:r w:rsidR="007C4FDF">
        <w:rPr>
          <w:rFonts w:ascii="Bookman Old Style" w:hAnsi="Bookman Old Style"/>
          <w:sz w:val="28"/>
          <w:szCs w:val="28"/>
          <w:lang w:val="el-GR"/>
        </w:rPr>
        <w:t xml:space="preserve"> αρνήθηκε. </w:t>
      </w:r>
    </w:p>
    <w:p w14:paraId="170C3588" w14:textId="5C467078" w:rsidR="00F546D5" w:rsidRDefault="00F546D5" w:rsidP="00F00108">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Εφεσίβλητος, στη δική του υπεράσπιση, </w:t>
      </w:r>
      <w:proofErr w:type="spellStart"/>
      <w:r>
        <w:rPr>
          <w:rFonts w:ascii="Bookman Old Style" w:hAnsi="Bookman Old Style"/>
          <w:sz w:val="28"/>
          <w:szCs w:val="28"/>
          <w:lang w:val="el-GR"/>
        </w:rPr>
        <w:t>προέβαλε</w:t>
      </w:r>
      <w:proofErr w:type="spellEnd"/>
      <w:r>
        <w:rPr>
          <w:rFonts w:ascii="Bookman Old Style" w:hAnsi="Bookman Old Style"/>
          <w:sz w:val="28"/>
          <w:szCs w:val="28"/>
          <w:lang w:val="el-GR"/>
        </w:rPr>
        <w:t xml:space="preserve"> εντελώς διαφορετικούς ισχυρισμούς, ήτοι πως ουδέποτε </w:t>
      </w:r>
      <w:r w:rsidR="00824825">
        <w:rPr>
          <w:rFonts w:ascii="Bookman Old Style" w:hAnsi="Bookman Old Style"/>
          <w:sz w:val="28"/>
          <w:szCs w:val="28"/>
          <w:lang w:val="el-GR"/>
        </w:rPr>
        <w:t xml:space="preserve">στοιχημάτισε </w:t>
      </w:r>
      <w:r>
        <w:rPr>
          <w:rFonts w:ascii="Bookman Old Style" w:hAnsi="Bookman Old Style"/>
          <w:sz w:val="28"/>
          <w:szCs w:val="28"/>
          <w:lang w:val="el-GR"/>
        </w:rPr>
        <w:t xml:space="preserve">επί πιστώσει, πάντοτε πλήρωνε τοις μετρητοίς, απορρίπτοντας τους ισχυρισμούς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ως αποκύημα της φαντασίας της και τις θέσεις της περί συνεργασίας του με την Εφεσίβλητη. Αυτές ήταν και οι θέσεις που προβλήθηκαν από τον δικηγόρο του Εφεσίβλητου κατά την </w:t>
      </w:r>
      <w:proofErr w:type="spellStart"/>
      <w:r>
        <w:rPr>
          <w:rFonts w:ascii="Bookman Old Style" w:hAnsi="Bookman Old Style"/>
          <w:sz w:val="28"/>
          <w:szCs w:val="28"/>
          <w:lang w:val="el-GR"/>
        </w:rPr>
        <w:t>αντεξέταση</w:t>
      </w:r>
      <w:proofErr w:type="spellEnd"/>
      <w:r>
        <w:rPr>
          <w:rFonts w:ascii="Bookman Old Style" w:hAnsi="Bookman Old Style"/>
          <w:sz w:val="28"/>
          <w:szCs w:val="28"/>
          <w:lang w:val="el-GR"/>
        </w:rPr>
        <w:t xml:space="preserve"> του </w:t>
      </w:r>
      <w:r w:rsidR="00824825">
        <w:rPr>
          <w:rFonts w:ascii="Bookman Old Style" w:hAnsi="Bookman Old Style"/>
          <w:sz w:val="28"/>
          <w:szCs w:val="28"/>
          <w:lang w:val="el-GR"/>
        </w:rPr>
        <w:t>μάρτυρα</w:t>
      </w:r>
      <w:r>
        <w:rPr>
          <w:rFonts w:ascii="Bookman Old Style" w:hAnsi="Bookman Old Style"/>
          <w:sz w:val="28"/>
          <w:szCs w:val="28"/>
          <w:lang w:val="el-GR"/>
        </w:rPr>
        <w:t xml:space="preserve">, ο οποίος και τις αρνήθηκε. </w:t>
      </w:r>
    </w:p>
    <w:p w14:paraId="25AD3608" w14:textId="674F34F6" w:rsidR="00E16D7D" w:rsidRDefault="00E16D7D" w:rsidP="00F00108">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Εδώ αναφέρουμε πως δεν συμμεριζόμαστε τη θέση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w:t>
      </w:r>
      <w:r w:rsidR="009135EC">
        <w:rPr>
          <w:rFonts w:ascii="Bookman Old Style" w:hAnsi="Bookman Old Style"/>
          <w:sz w:val="28"/>
          <w:szCs w:val="28"/>
          <w:lang w:val="el-GR"/>
        </w:rPr>
        <w:t>ότι</w:t>
      </w:r>
      <w:r>
        <w:rPr>
          <w:rFonts w:ascii="Bookman Old Style" w:hAnsi="Bookman Old Style"/>
          <w:sz w:val="28"/>
          <w:szCs w:val="28"/>
          <w:lang w:val="el-GR"/>
        </w:rPr>
        <w:t xml:space="preserve"> ο Εφεσίβλητος, στην υπεράσπιση του, δέχθηκε </w:t>
      </w:r>
      <w:r w:rsidR="009135EC">
        <w:rPr>
          <w:rFonts w:ascii="Bookman Old Style" w:hAnsi="Bookman Old Style"/>
          <w:sz w:val="28"/>
          <w:szCs w:val="28"/>
          <w:lang w:val="el-GR"/>
        </w:rPr>
        <w:t xml:space="preserve">πως </w:t>
      </w:r>
      <w:r w:rsidR="00824825">
        <w:rPr>
          <w:rFonts w:ascii="Bookman Old Style" w:hAnsi="Bookman Old Style"/>
          <w:sz w:val="28"/>
          <w:szCs w:val="28"/>
          <w:lang w:val="el-GR"/>
        </w:rPr>
        <w:t>προέβη σ</w:t>
      </w:r>
      <w:r>
        <w:rPr>
          <w:rFonts w:ascii="Bookman Old Style" w:hAnsi="Bookman Old Style"/>
          <w:sz w:val="28"/>
          <w:szCs w:val="28"/>
          <w:lang w:val="el-GR"/>
        </w:rPr>
        <w:t xml:space="preserve">τα επίδικα στοιχήματα. Η παραδοχή του περιορίστηκε μόνο </w:t>
      </w:r>
      <w:r>
        <w:rPr>
          <w:rFonts w:ascii="Bookman Old Style" w:hAnsi="Bookman Old Style"/>
          <w:sz w:val="28"/>
          <w:szCs w:val="28"/>
          <w:lang w:val="el-GR"/>
        </w:rPr>
        <w:lastRenderedPageBreak/>
        <w:t xml:space="preserve">στο ότι πάντοτε </w:t>
      </w:r>
      <w:r w:rsidR="00824825">
        <w:rPr>
          <w:rFonts w:ascii="Bookman Old Style" w:hAnsi="Bookman Old Style"/>
          <w:sz w:val="28"/>
          <w:szCs w:val="28"/>
          <w:lang w:val="el-GR"/>
        </w:rPr>
        <w:t xml:space="preserve">στοιχημάτιζε </w:t>
      </w:r>
      <w:r>
        <w:rPr>
          <w:rFonts w:ascii="Bookman Old Style" w:hAnsi="Bookman Old Style"/>
          <w:sz w:val="28"/>
          <w:szCs w:val="28"/>
          <w:lang w:val="el-GR"/>
        </w:rPr>
        <w:t xml:space="preserve">τοις μετρητοίς, αρνούμενος ότι τα στοιχήματα ανέρχονταν στο </w:t>
      </w:r>
      <w:proofErr w:type="spellStart"/>
      <w:r>
        <w:rPr>
          <w:rFonts w:ascii="Bookman Old Style" w:hAnsi="Bookman Old Style"/>
          <w:sz w:val="28"/>
          <w:szCs w:val="28"/>
          <w:lang w:val="el-GR"/>
        </w:rPr>
        <w:t>αξιούμενο</w:t>
      </w:r>
      <w:proofErr w:type="spellEnd"/>
      <w:r>
        <w:rPr>
          <w:rFonts w:ascii="Bookman Old Style" w:hAnsi="Bookman Old Style"/>
          <w:sz w:val="28"/>
          <w:szCs w:val="28"/>
          <w:lang w:val="el-GR"/>
        </w:rPr>
        <w:t xml:space="preserve"> ποσό. </w:t>
      </w:r>
    </w:p>
    <w:p w14:paraId="74430CCA" w14:textId="645DCE6B" w:rsidR="00F546D5" w:rsidRDefault="006A7BED" w:rsidP="00F00108">
      <w:pPr>
        <w:spacing w:before="240" w:after="48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w:t>
      </w:r>
      <w:r w:rsidR="00450DBD">
        <w:rPr>
          <w:rFonts w:ascii="Bookman Old Style" w:hAnsi="Bookman Old Style"/>
          <w:sz w:val="28"/>
          <w:szCs w:val="28"/>
          <w:lang w:val="el-GR"/>
        </w:rPr>
        <w:t xml:space="preserve">πρωτόδικο Δικαστήριο αξιολόγησε ορθά την ενώπιον του μαρτυρία. Η παραδοχή της Εφεσίβλητης για το ποσό της πίστωσης που παραχωρήθηκε στον Εφεσίβλητο λήφθηκε </w:t>
      </w:r>
      <w:r w:rsidR="00963276">
        <w:rPr>
          <w:rFonts w:ascii="Bookman Old Style" w:hAnsi="Bookman Old Style"/>
          <w:sz w:val="28"/>
          <w:szCs w:val="28"/>
          <w:lang w:val="el-GR"/>
        </w:rPr>
        <w:t xml:space="preserve">μεν </w:t>
      </w:r>
      <w:r w:rsidR="00450DBD">
        <w:rPr>
          <w:rFonts w:ascii="Bookman Old Style" w:hAnsi="Bookman Old Style"/>
          <w:sz w:val="28"/>
          <w:szCs w:val="28"/>
          <w:lang w:val="el-GR"/>
        </w:rPr>
        <w:t>υπόψη</w:t>
      </w:r>
      <w:r w:rsidR="00963276">
        <w:rPr>
          <w:rFonts w:ascii="Bookman Old Style" w:hAnsi="Bookman Old Style"/>
          <w:sz w:val="28"/>
          <w:szCs w:val="28"/>
          <w:lang w:val="el-GR"/>
        </w:rPr>
        <w:t>,</w:t>
      </w:r>
      <w:r w:rsidR="00450DBD">
        <w:rPr>
          <w:rFonts w:ascii="Bookman Old Style" w:hAnsi="Bookman Old Style"/>
          <w:sz w:val="28"/>
          <w:szCs w:val="28"/>
          <w:lang w:val="el-GR"/>
        </w:rPr>
        <w:t xml:space="preserve"> αλλά δεν ήταν ικανή να καταδείξει αφενός τις συνθήκες υπό τις οποίες επετράπη στον Εφεσίβλητο να στοιχηματίζει επί πιστώσει και κυρίως την όλη συμπεριφορά της Εφεσίβλητης</w:t>
      </w:r>
      <w:r w:rsidR="00770138">
        <w:rPr>
          <w:rFonts w:ascii="Bookman Old Style" w:hAnsi="Bookman Old Style"/>
          <w:sz w:val="28"/>
          <w:szCs w:val="28"/>
          <w:lang w:val="el-GR"/>
        </w:rPr>
        <w:t xml:space="preserve"> και την τυχόν συνεννόηση της με τον Εφεσίβλητο</w:t>
      </w:r>
      <w:r w:rsidR="00D30D1E">
        <w:rPr>
          <w:rFonts w:ascii="Bookman Old Style" w:hAnsi="Bookman Old Style"/>
          <w:sz w:val="28"/>
          <w:szCs w:val="28"/>
          <w:lang w:val="el-GR"/>
        </w:rPr>
        <w:t xml:space="preserve"> γι’ αυτό το ζήτημα</w:t>
      </w:r>
      <w:r w:rsidR="00450DBD">
        <w:rPr>
          <w:rFonts w:ascii="Bookman Old Style" w:hAnsi="Bookman Old Style"/>
          <w:sz w:val="28"/>
          <w:szCs w:val="28"/>
          <w:lang w:val="el-GR"/>
        </w:rPr>
        <w:t xml:space="preserve">. </w:t>
      </w:r>
      <w:r w:rsidR="002719D8">
        <w:rPr>
          <w:rFonts w:ascii="Bookman Old Style" w:hAnsi="Bookman Old Style"/>
          <w:sz w:val="28"/>
          <w:szCs w:val="28"/>
          <w:lang w:val="el-GR"/>
        </w:rPr>
        <w:t xml:space="preserve">Επομένως, η εν λόγω παραδοχή της Εφεσίβλητης και το σύνολο της μαρτυρίας του </w:t>
      </w:r>
      <w:r w:rsidR="00824825">
        <w:rPr>
          <w:rFonts w:ascii="Bookman Old Style" w:hAnsi="Bookman Old Style"/>
          <w:sz w:val="28"/>
          <w:szCs w:val="28"/>
          <w:lang w:val="el-GR"/>
        </w:rPr>
        <w:t xml:space="preserve">διευθυντή της </w:t>
      </w:r>
      <w:proofErr w:type="spellStart"/>
      <w:r w:rsidR="00824825">
        <w:rPr>
          <w:rFonts w:ascii="Bookman Old Style" w:hAnsi="Bookman Old Style"/>
          <w:sz w:val="28"/>
          <w:szCs w:val="28"/>
          <w:lang w:val="el-GR"/>
        </w:rPr>
        <w:t>Εφεσείουσας</w:t>
      </w:r>
      <w:proofErr w:type="spellEnd"/>
      <w:r w:rsidR="002719D8">
        <w:rPr>
          <w:rFonts w:ascii="Bookman Old Style" w:hAnsi="Bookman Old Style"/>
          <w:sz w:val="28"/>
          <w:szCs w:val="28"/>
          <w:lang w:val="el-GR"/>
        </w:rPr>
        <w:t xml:space="preserve"> δεν επέτρεπαν στο πρωτόδικο Δικαστήριο να αποδεχθεί</w:t>
      </w:r>
      <w:r w:rsidR="006A7B06">
        <w:rPr>
          <w:rFonts w:ascii="Bookman Old Style" w:hAnsi="Bookman Old Style"/>
          <w:sz w:val="28"/>
          <w:szCs w:val="28"/>
          <w:lang w:val="el-GR"/>
        </w:rPr>
        <w:t xml:space="preserve">, δίχως άλλο, </w:t>
      </w:r>
      <w:r w:rsidR="000067F4">
        <w:rPr>
          <w:rFonts w:ascii="Bookman Old Style" w:hAnsi="Bookman Old Style"/>
          <w:sz w:val="28"/>
          <w:szCs w:val="28"/>
          <w:lang w:val="el-GR"/>
        </w:rPr>
        <w:t xml:space="preserve">τις </w:t>
      </w:r>
      <w:proofErr w:type="spellStart"/>
      <w:r w:rsidR="000067F4">
        <w:rPr>
          <w:rFonts w:ascii="Bookman Old Style" w:hAnsi="Bookman Old Style"/>
          <w:sz w:val="28"/>
          <w:szCs w:val="28"/>
          <w:lang w:val="el-GR"/>
        </w:rPr>
        <w:t>δικογραφημένες</w:t>
      </w:r>
      <w:proofErr w:type="spellEnd"/>
      <w:r w:rsidR="000067F4">
        <w:rPr>
          <w:rFonts w:ascii="Bookman Old Style" w:hAnsi="Bookman Old Style"/>
          <w:sz w:val="28"/>
          <w:szCs w:val="28"/>
          <w:lang w:val="el-GR"/>
        </w:rPr>
        <w:t xml:space="preserve"> θέσεις της Εφεσίβλητης </w:t>
      </w:r>
      <w:r w:rsidR="002719D8">
        <w:rPr>
          <w:rFonts w:ascii="Bookman Old Style" w:hAnsi="Bookman Old Style"/>
          <w:sz w:val="28"/>
          <w:szCs w:val="28"/>
          <w:lang w:val="el-GR"/>
        </w:rPr>
        <w:t xml:space="preserve">και να καταλήξει σε ασφαλή ευρήματα αναφορικά με το όλο πλαίσιο των γεγονότων σε σχέση με την ίδια την Εφεσίβλητη. Ο Εφεσίβλητος </w:t>
      </w:r>
      <w:proofErr w:type="spellStart"/>
      <w:r w:rsidR="002719D8">
        <w:rPr>
          <w:rFonts w:ascii="Bookman Old Style" w:hAnsi="Bookman Old Style"/>
          <w:sz w:val="28"/>
          <w:szCs w:val="28"/>
          <w:lang w:val="el-GR"/>
        </w:rPr>
        <w:t>προέβαλε</w:t>
      </w:r>
      <w:proofErr w:type="spellEnd"/>
      <w:r w:rsidR="002719D8">
        <w:rPr>
          <w:rFonts w:ascii="Bookman Old Style" w:hAnsi="Bookman Old Style"/>
          <w:sz w:val="28"/>
          <w:szCs w:val="28"/>
          <w:lang w:val="el-GR"/>
        </w:rPr>
        <w:t xml:space="preserve"> διαφορετικές θέσεις οι οποίες, ιδωμένες μέσα από το σύνολο της μαρτυρίας του </w:t>
      </w:r>
      <w:r w:rsidR="00824825">
        <w:rPr>
          <w:rFonts w:ascii="Bookman Old Style" w:hAnsi="Bookman Old Style"/>
          <w:sz w:val="28"/>
          <w:szCs w:val="28"/>
          <w:lang w:val="el-GR"/>
        </w:rPr>
        <w:t xml:space="preserve">διευθυντή της </w:t>
      </w:r>
      <w:proofErr w:type="spellStart"/>
      <w:r w:rsidR="00824825">
        <w:rPr>
          <w:rFonts w:ascii="Bookman Old Style" w:hAnsi="Bookman Old Style"/>
          <w:sz w:val="28"/>
          <w:szCs w:val="28"/>
          <w:lang w:val="el-GR"/>
        </w:rPr>
        <w:t>Εφεσείουσας</w:t>
      </w:r>
      <w:proofErr w:type="spellEnd"/>
      <w:r w:rsidR="002719D8">
        <w:rPr>
          <w:rFonts w:ascii="Bookman Old Style" w:hAnsi="Bookman Old Style"/>
          <w:sz w:val="28"/>
          <w:szCs w:val="28"/>
          <w:lang w:val="el-GR"/>
        </w:rPr>
        <w:t xml:space="preserve">, και πάλι δεν ήταν ικανές να οδηγήσουν το πρωτόδικο Δικαστήριο σε συμπεράσματα ως προς το σύνολο των γεγονότων που αφορούσαν στη συμπεριφορά του Εφεσίβλητου. </w:t>
      </w:r>
    </w:p>
    <w:p w14:paraId="0B0784E7" w14:textId="2F76B44D" w:rsidR="00C60B48" w:rsidRDefault="00C60B48" w:rsidP="00F00108">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Θεωρούμε ότι τ</w:t>
      </w:r>
      <w:r w:rsidR="00450DBD">
        <w:rPr>
          <w:rFonts w:ascii="Bookman Old Style" w:hAnsi="Bookman Old Style"/>
          <w:sz w:val="28"/>
          <w:szCs w:val="28"/>
          <w:lang w:val="el-GR"/>
        </w:rPr>
        <w:t>ο πρωτόδικο Δικασ</w:t>
      </w:r>
      <w:r w:rsidR="004D74A4">
        <w:rPr>
          <w:rFonts w:ascii="Bookman Old Style" w:hAnsi="Bookman Old Style"/>
          <w:sz w:val="28"/>
          <w:szCs w:val="28"/>
          <w:lang w:val="el-GR"/>
        </w:rPr>
        <w:t xml:space="preserve">τήριο </w:t>
      </w:r>
      <w:r>
        <w:rPr>
          <w:rFonts w:ascii="Bookman Old Style" w:hAnsi="Bookman Old Style"/>
          <w:sz w:val="28"/>
          <w:szCs w:val="28"/>
          <w:lang w:val="el-GR"/>
        </w:rPr>
        <w:t xml:space="preserve">προέβη σε </w:t>
      </w:r>
      <w:r w:rsidR="00B1097D">
        <w:rPr>
          <w:rFonts w:ascii="Bookman Old Style" w:hAnsi="Bookman Old Style"/>
          <w:sz w:val="28"/>
          <w:szCs w:val="28"/>
          <w:lang w:val="el-GR"/>
        </w:rPr>
        <w:t xml:space="preserve">ορθή </w:t>
      </w:r>
      <w:r>
        <w:rPr>
          <w:rFonts w:ascii="Bookman Old Style" w:hAnsi="Bookman Old Style"/>
          <w:sz w:val="28"/>
          <w:szCs w:val="28"/>
          <w:lang w:val="el-GR"/>
        </w:rPr>
        <w:t xml:space="preserve">αξιολόγηση του συνόλου της μαρτυρίας του </w:t>
      </w:r>
      <w:r w:rsidR="00824825">
        <w:rPr>
          <w:rFonts w:ascii="Bookman Old Style" w:hAnsi="Bookman Old Style"/>
          <w:sz w:val="28"/>
          <w:szCs w:val="28"/>
          <w:lang w:val="el-GR"/>
        </w:rPr>
        <w:t xml:space="preserve">διευθυντή της </w:t>
      </w:r>
      <w:proofErr w:type="spellStart"/>
      <w:r w:rsidR="00824825">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w:t>
      </w:r>
      <w:r w:rsidR="00B1097D">
        <w:rPr>
          <w:rFonts w:ascii="Bookman Old Style" w:hAnsi="Bookman Old Style"/>
          <w:sz w:val="28"/>
          <w:szCs w:val="28"/>
          <w:lang w:val="el-GR"/>
        </w:rPr>
        <w:t xml:space="preserve">και δικαιολογημένα διαπίστωσε </w:t>
      </w:r>
      <w:r>
        <w:rPr>
          <w:rFonts w:ascii="Bookman Old Style" w:hAnsi="Bookman Old Style"/>
          <w:sz w:val="28"/>
          <w:szCs w:val="28"/>
          <w:lang w:val="el-GR"/>
        </w:rPr>
        <w:t xml:space="preserve">πως, εκτός των παραδεκτών ισχυρισμών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οι προβαλλόμενοι ισχυρισμοί στερούνταν πειστικότητας κα</w:t>
      </w:r>
      <w:r w:rsidR="00794B63">
        <w:rPr>
          <w:rFonts w:ascii="Bookman Old Style" w:hAnsi="Bookman Old Style"/>
          <w:sz w:val="28"/>
          <w:szCs w:val="28"/>
          <w:lang w:val="el-GR"/>
        </w:rPr>
        <w:t>ι</w:t>
      </w:r>
      <w:r>
        <w:rPr>
          <w:rFonts w:ascii="Bookman Old Style" w:hAnsi="Bookman Old Style"/>
          <w:sz w:val="28"/>
          <w:szCs w:val="28"/>
          <w:lang w:val="el-GR"/>
        </w:rPr>
        <w:t xml:space="preserve"> μη επαρκούς τεκμηρίωσης για να μπορέσουν να το οδηγήσουν σε ασφαλή συμπεράσματα.</w:t>
      </w:r>
      <w:r w:rsidR="00E4420E">
        <w:rPr>
          <w:rFonts w:ascii="Bookman Old Style" w:hAnsi="Bookman Old Style"/>
          <w:sz w:val="28"/>
          <w:szCs w:val="28"/>
          <w:lang w:val="el-GR"/>
        </w:rPr>
        <w:t xml:space="preserve"> Το </w:t>
      </w:r>
      <w:r w:rsidR="00826404">
        <w:rPr>
          <w:rFonts w:ascii="Bookman Old Style" w:hAnsi="Bookman Old Style"/>
          <w:sz w:val="28"/>
          <w:szCs w:val="28"/>
          <w:lang w:val="el-GR"/>
        </w:rPr>
        <w:t xml:space="preserve">πρωτόδικο Δικαστήριο ασχολήθηκε με διάφορα ζητήματα, το </w:t>
      </w:r>
      <w:r w:rsidR="00E4420E">
        <w:rPr>
          <w:rFonts w:ascii="Bookman Old Style" w:hAnsi="Bookman Old Style"/>
          <w:sz w:val="28"/>
          <w:szCs w:val="28"/>
          <w:lang w:val="el-GR"/>
        </w:rPr>
        <w:t xml:space="preserve">σημαντικότερο </w:t>
      </w:r>
      <w:r w:rsidR="00826404">
        <w:rPr>
          <w:rFonts w:ascii="Bookman Old Style" w:hAnsi="Bookman Old Style"/>
          <w:sz w:val="28"/>
          <w:szCs w:val="28"/>
          <w:lang w:val="el-GR"/>
        </w:rPr>
        <w:t xml:space="preserve">και καθοριστικό των οποίων αφορούσε το αμφισβητούμενο από τον Εφεσίβλητο και επίδικο ζήτημα του προσώπου που </w:t>
      </w:r>
      <w:r w:rsidR="00162EC8">
        <w:rPr>
          <w:rFonts w:ascii="Bookman Old Style" w:hAnsi="Bookman Old Style"/>
          <w:sz w:val="28"/>
          <w:szCs w:val="28"/>
          <w:lang w:val="el-GR"/>
        </w:rPr>
        <w:t>προέβη σ</w:t>
      </w:r>
      <w:r w:rsidR="00826404">
        <w:rPr>
          <w:rFonts w:ascii="Bookman Old Style" w:hAnsi="Bookman Old Style"/>
          <w:sz w:val="28"/>
          <w:szCs w:val="28"/>
          <w:lang w:val="el-GR"/>
        </w:rPr>
        <w:t>τα στοιχήματα και το</w:t>
      </w:r>
      <w:r w:rsidR="00235426">
        <w:rPr>
          <w:rFonts w:ascii="Bookman Old Style" w:hAnsi="Bookman Old Style"/>
          <w:sz w:val="28"/>
          <w:szCs w:val="28"/>
          <w:lang w:val="el-GR"/>
        </w:rPr>
        <w:t>υ</w:t>
      </w:r>
      <w:r w:rsidR="00826404">
        <w:rPr>
          <w:rFonts w:ascii="Bookman Old Style" w:hAnsi="Bookman Old Style"/>
          <w:sz w:val="28"/>
          <w:szCs w:val="28"/>
          <w:lang w:val="el-GR"/>
        </w:rPr>
        <w:t xml:space="preserve"> ύψο</w:t>
      </w:r>
      <w:r w:rsidR="00235426">
        <w:rPr>
          <w:rFonts w:ascii="Bookman Old Style" w:hAnsi="Bookman Old Style"/>
          <w:sz w:val="28"/>
          <w:szCs w:val="28"/>
          <w:lang w:val="el-GR"/>
        </w:rPr>
        <w:t>υ</w:t>
      </w:r>
      <w:r w:rsidR="00826404">
        <w:rPr>
          <w:rFonts w:ascii="Bookman Old Style" w:hAnsi="Bookman Old Style"/>
          <w:sz w:val="28"/>
          <w:szCs w:val="28"/>
          <w:lang w:val="el-GR"/>
        </w:rPr>
        <w:t xml:space="preserve">ς του ποσού. Επί τούτου, το πρωτόδικο Δικαστήριο αναφέρθηκε στη μαρτυρία του </w:t>
      </w:r>
      <w:r w:rsidR="00824825">
        <w:rPr>
          <w:rFonts w:ascii="Bookman Old Style" w:hAnsi="Bookman Old Style"/>
          <w:sz w:val="28"/>
          <w:szCs w:val="28"/>
          <w:lang w:val="el-GR"/>
        </w:rPr>
        <w:t xml:space="preserve">διευθυντή της </w:t>
      </w:r>
      <w:proofErr w:type="spellStart"/>
      <w:r w:rsidR="00824825">
        <w:rPr>
          <w:rFonts w:ascii="Bookman Old Style" w:hAnsi="Bookman Old Style"/>
          <w:sz w:val="28"/>
          <w:szCs w:val="28"/>
          <w:lang w:val="el-GR"/>
        </w:rPr>
        <w:t>Εφεσείουσας</w:t>
      </w:r>
      <w:proofErr w:type="spellEnd"/>
      <w:r w:rsidR="00826404">
        <w:rPr>
          <w:rFonts w:ascii="Bookman Old Style" w:hAnsi="Bookman Old Style"/>
          <w:sz w:val="28"/>
          <w:szCs w:val="28"/>
          <w:lang w:val="el-GR"/>
        </w:rPr>
        <w:t xml:space="preserve"> αντιπαραβάλλοντας τις θέσεις του </w:t>
      </w:r>
      <w:r w:rsidR="000202F5">
        <w:rPr>
          <w:rFonts w:ascii="Bookman Old Style" w:hAnsi="Bookman Old Style"/>
          <w:sz w:val="28"/>
          <w:szCs w:val="28"/>
          <w:lang w:val="el-GR"/>
        </w:rPr>
        <w:t xml:space="preserve">στην </w:t>
      </w:r>
      <w:proofErr w:type="spellStart"/>
      <w:r w:rsidR="000202F5">
        <w:rPr>
          <w:rFonts w:ascii="Bookman Old Style" w:hAnsi="Bookman Old Style"/>
          <w:sz w:val="28"/>
          <w:szCs w:val="28"/>
          <w:lang w:val="el-GR"/>
        </w:rPr>
        <w:t>αντεξέταση</w:t>
      </w:r>
      <w:proofErr w:type="spellEnd"/>
      <w:r w:rsidR="000202F5">
        <w:rPr>
          <w:rFonts w:ascii="Bookman Old Style" w:hAnsi="Bookman Old Style"/>
          <w:sz w:val="28"/>
          <w:szCs w:val="28"/>
          <w:lang w:val="el-GR"/>
        </w:rPr>
        <w:t xml:space="preserve"> του από τον κάθε δικηγόρο των Εφεσίβλητων και καταλήγοντας ότι αυτή ήταν γενική, αόριστη και αντιφατική. Αυτή η κατάληξη του ήταν εύλογη καθότι, όπως επισημαίνει το πρωτόδικο Δικαστήριο, στην </w:t>
      </w:r>
      <w:proofErr w:type="spellStart"/>
      <w:r w:rsidR="000202F5">
        <w:rPr>
          <w:rFonts w:ascii="Bookman Old Style" w:hAnsi="Bookman Old Style"/>
          <w:sz w:val="28"/>
          <w:szCs w:val="28"/>
          <w:lang w:val="el-GR"/>
        </w:rPr>
        <w:t>αντεξέταση</w:t>
      </w:r>
      <w:proofErr w:type="spellEnd"/>
      <w:r w:rsidR="000202F5">
        <w:rPr>
          <w:rFonts w:ascii="Bookman Old Style" w:hAnsi="Bookman Old Style"/>
          <w:sz w:val="28"/>
          <w:szCs w:val="28"/>
          <w:lang w:val="el-GR"/>
        </w:rPr>
        <w:t xml:space="preserve"> του από την Εφεσίβλητη </w:t>
      </w:r>
      <w:r w:rsidR="00931F51">
        <w:rPr>
          <w:rFonts w:ascii="Bookman Old Style" w:hAnsi="Bookman Old Style"/>
          <w:sz w:val="28"/>
          <w:szCs w:val="28"/>
          <w:lang w:val="el-GR"/>
        </w:rPr>
        <w:t xml:space="preserve">ο </w:t>
      </w:r>
      <w:r w:rsidR="00824825">
        <w:rPr>
          <w:rFonts w:ascii="Bookman Old Style" w:hAnsi="Bookman Old Style"/>
          <w:sz w:val="28"/>
          <w:szCs w:val="28"/>
          <w:lang w:val="el-GR"/>
        </w:rPr>
        <w:t>μάρτυρας</w:t>
      </w:r>
      <w:r w:rsidR="00931F51">
        <w:rPr>
          <w:rFonts w:ascii="Bookman Old Style" w:hAnsi="Bookman Old Style"/>
          <w:sz w:val="28"/>
          <w:szCs w:val="28"/>
          <w:lang w:val="el-GR"/>
        </w:rPr>
        <w:t xml:space="preserve"> </w:t>
      </w:r>
      <w:r w:rsidR="000202F5">
        <w:rPr>
          <w:rFonts w:ascii="Bookman Old Style" w:hAnsi="Bookman Old Style"/>
          <w:sz w:val="28"/>
          <w:szCs w:val="28"/>
          <w:lang w:val="el-GR"/>
        </w:rPr>
        <w:t xml:space="preserve">δέχθηκε πως </w:t>
      </w:r>
      <w:r w:rsidR="00A40C60">
        <w:rPr>
          <w:rFonts w:ascii="Bookman Old Style" w:hAnsi="Bookman Old Style"/>
          <w:sz w:val="28"/>
          <w:szCs w:val="28"/>
          <w:lang w:val="el-GR"/>
        </w:rPr>
        <w:t xml:space="preserve">για κάθε </w:t>
      </w:r>
      <w:r w:rsidR="00824825">
        <w:rPr>
          <w:rFonts w:ascii="Bookman Old Style" w:hAnsi="Bookman Old Style"/>
          <w:sz w:val="28"/>
          <w:szCs w:val="28"/>
          <w:lang w:val="el-GR"/>
        </w:rPr>
        <w:t xml:space="preserve">στοίχημα </w:t>
      </w:r>
      <w:r w:rsidR="000202F5">
        <w:rPr>
          <w:rFonts w:ascii="Bookman Old Style" w:hAnsi="Bookman Old Style"/>
          <w:sz w:val="28"/>
          <w:szCs w:val="28"/>
          <w:lang w:val="el-GR"/>
        </w:rPr>
        <w:t>τυπ</w:t>
      </w:r>
      <w:r w:rsidR="00A40C60">
        <w:rPr>
          <w:rFonts w:ascii="Bookman Old Style" w:hAnsi="Bookman Old Style"/>
          <w:sz w:val="28"/>
          <w:szCs w:val="28"/>
          <w:lang w:val="el-GR"/>
        </w:rPr>
        <w:t>ωνό</w:t>
      </w:r>
      <w:r w:rsidR="000202F5">
        <w:rPr>
          <w:rFonts w:ascii="Bookman Old Style" w:hAnsi="Bookman Old Style"/>
          <w:sz w:val="28"/>
          <w:szCs w:val="28"/>
          <w:lang w:val="el-GR"/>
        </w:rPr>
        <w:t xml:space="preserve">ταν </w:t>
      </w:r>
      <w:r w:rsidR="00A40C60">
        <w:rPr>
          <w:rFonts w:ascii="Bookman Old Style" w:hAnsi="Bookman Old Style"/>
          <w:sz w:val="28"/>
          <w:szCs w:val="28"/>
          <w:lang w:val="el-GR"/>
        </w:rPr>
        <w:t>απόδειξη του στοιχήματος</w:t>
      </w:r>
      <w:r w:rsidR="00302FAD">
        <w:rPr>
          <w:rFonts w:ascii="Bookman Old Style" w:hAnsi="Bookman Old Style"/>
          <w:sz w:val="28"/>
          <w:szCs w:val="28"/>
          <w:lang w:val="el-GR"/>
        </w:rPr>
        <w:t xml:space="preserve"> στην οποία δεν αναγράφεται το όνομα του πελάτη</w:t>
      </w:r>
      <w:r w:rsidR="00A40C60">
        <w:rPr>
          <w:rFonts w:ascii="Bookman Old Style" w:hAnsi="Bookman Old Style"/>
          <w:sz w:val="28"/>
          <w:szCs w:val="28"/>
          <w:lang w:val="el-GR"/>
        </w:rPr>
        <w:t xml:space="preserve">, </w:t>
      </w:r>
      <w:r w:rsidR="000202F5">
        <w:rPr>
          <w:rFonts w:ascii="Bookman Old Style" w:hAnsi="Bookman Old Style"/>
          <w:sz w:val="28"/>
          <w:szCs w:val="28"/>
          <w:lang w:val="el-GR"/>
        </w:rPr>
        <w:t xml:space="preserve">ενώ στην </w:t>
      </w:r>
      <w:proofErr w:type="spellStart"/>
      <w:r w:rsidR="000202F5">
        <w:rPr>
          <w:rFonts w:ascii="Bookman Old Style" w:hAnsi="Bookman Old Style"/>
          <w:sz w:val="28"/>
          <w:szCs w:val="28"/>
          <w:lang w:val="el-GR"/>
        </w:rPr>
        <w:t>αντεξέταση</w:t>
      </w:r>
      <w:proofErr w:type="spellEnd"/>
      <w:r w:rsidR="000202F5">
        <w:rPr>
          <w:rFonts w:ascii="Bookman Old Style" w:hAnsi="Bookman Old Style"/>
          <w:sz w:val="28"/>
          <w:szCs w:val="28"/>
          <w:lang w:val="el-GR"/>
        </w:rPr>
        <w:t xml:space="preserve"> του από τον Εφεσίβλητο είπε ότι </w:t>
      </w:r>
      <w:r w:rsidR="000C531A">
        <w:rPr>
          <w:rFonts w:ascii="Bookman Old Style" w:hAnsi="Bookman Old Style"/>
          <w:sz w:val="28"/>
          <w:szCs w:val="28"/>
          <w:lang w:val="el-GR"/>
        </w:rPr>
        <w:t>δεν κατείχε</w:t>
      </w:r>
      <w:r w:rsidR="00A40C60">
        <w:rPr>
          <w:rFonts w:ascii="Bookman Old Style" w:hAnsi="Bookman Old Style"/>
          <w:sz w:val="28"/>
          <w:szCs w:val="28"/>
          <w:lang w:val="el-GR"/>
        </w:rPr>
        <w:t xml:space="preserve"> τέτοιες αποδείξεις για τον χρόνο κατά τον οποίο αποδίδεται ότι ο Εφεσίβλητος στοιχημάτισε στο πρακτορείο της </w:t>
      </w:r>
      <w:proofErr w:type="spellStart"/>
      <w:r w:rsidR="00A40C60">
        <w:rPr>
          <w:rFonts w:ascii="Bookman Old Style" w:hAnsi="Bookman Old Style"/>
          <w:sz w:val="28"/>
          <w:szCs w:val="28"/>
          <w:lang w:val="el-GR"/>
        </w:rPr>
        <w:t>Εφεσείουσας</w:t>
      </w:r>
      <w:proofErr w:type="spellEnd"/>
      <w:r w:rsidR="000202F5">
        <w:rPr>
          <w:rFonts w:ascii="Bookman Old Style" w:hAnsi="Bookman Old Style"/>
          <w:sz w:val="28"/>
          <w:szCs w:val="28"/>
          <w:lang w:val="el-GR"/>
        </w:rPr>
        <w:t xml:space="preserve">. Στην </w:t>
      </w:r>
      <w:proofErr w:type="spellStart"/>
      <w:r w:rsidR="000202F5">
        <w:rPr>
          <w:rFonts w:ascii="Bookman Old Style" w:hAnsi="Bookman Old Style"/>
          <w:sz w:val="28"/>
          <w:szCs w:val="28"/>
          <w:lang w:val="el-GR"/>
        </w:rPr>
        <w:t>αντεξέταση</w:t>
      </w:r>
      <w:proofErr w:type="spellEnd"/>
      <w:r w:rsidR="000202F5">
        <w:rPr>
          <w:rFonts w:ascii="Bookman Old Style" w:hAnsi="Bookman Old Style"/>
          <w:sz w:val="28"/>
          <w:szCs w:val="28"/>
          <w:lang w:val="el-GR"/>
        </w:rPr>
        <w:t xml:space="preserve"> του από τον Εφεσίβλητο, </w:t>
      </w:r>
      <w:r w:rsidR="000202F5">
        <w:rPr>
          <w:rFonts w:ascii="Bookman Old Style" w:hAnsi="Bookman Old Style"/>
          <w:sz w:val="28"/>
          <w:szCs w:val="28"/>
          <w:lang w:val="el-GR"/>
        </w:rPr>
        <w:lastRenderedPageBreak/>
        <w:t xml:space="preserve">ανέφερε ως μόνη πηγή γνώσης του για το ποσό των στοιχημάτων </w:t>
      </w:r>
      <w:r w:rsidR="00097B49">
        <w:rPr>
          <w:rFonts w:ascii="Bookman Old Style" w:hAnsi="Bookman Old Style"/>
          <w:sz w:val="28"/>
          <w:szCs w:val="28"/>
          <w:lang w:val="el-GR"/>
        </w:rPr>
        <w:t>στα οποία</w:t>
      </w:r>
      <w:r w:rsidR="000202F5">
        <w:rPr>
          <w:rFonts w:ascii="Bookman Old Style" w:hAnsi="Bookman Old Style"/>
          <w:sz w:val="28"/>
          <w:szCs w:val="28"/>
          <w:lang w:val="el-GR"/>
        </w:rPr>
        <w:t xml:space="preserve"> κατ’  ισχυρισμό </w:t>
      </w:r>
      <w:r w:rsidR="00097B49">
        <w:rPr>
          <w:rFonts w:ascii="Bookman Old Style" w:hAnsi="Bookman Old Style"/>
          <w:sz w:val="28"/>
          <w:szCs w:val="28"/>
          <w:lang w:val="el-GR"/>
        </w:rPr>
        <w:t>προέβη</w:t>
      </w:r>
      <w:r w:rsidR="000202F5">
        <w:rPr>
          <w:rFonts w:ascii="Bookman Old Style" w:hAnsi="Bookman Old Style"/>
          <w:sz w:val="28"/>
          <w:szCs w:val="28"/>
          <w:lang w:val="el-GR"/>
        </w:rPr>
        <w:t xml:space="preserve"> ο Εφεσίβλητος, την πληροφόρηση που έλαβε από την Εφεσίβλητη, θέση η οποία παρέμεινε παντελώς αόριστη και ατεκμηρίωτη. Επιπλέον το πρωτόδικο Δικαστήριο ορθώς θεώρησε πως αυτή η θέση δεν μπορούσε να γίνει πιστευτή εφόσον ο </w:t>
      </w:r>
      <w:r w:rsidR="00824825">
        <w:rPr>
          <w:rFonts w:ascii="Bookman Old Style" w:hAnsi="Bookman Old Style"/>
          <w:sz w:val="28"/>
          <w:szCs w:val="28"/>
          <w:lang w:val="el-GR"/>
        </w:rPr>
        <w:t>μάρτυρας</w:t>
      </w:r>
      <w:r w:rsidR="000202F5">
        <w:rPr>
          <w:rFonts w:ascii="Bookman Old Style" w:hAnsi="Bookman Old Style"/>
          <w:sz w:val="28"/>
          <w:szCs w:val="28"/>
          <w:lang w:val="el-GR"/>
        </w:rPr>
        <w:t xml:space="preserve"> αποδίδει στην Εφεσίβλητη κακοπιστία, κατάχρηση και δόλια συμπεριφορά. </w:t>
      </w:r>
      <w:r w:rsidR="00C951BF">
        <w:rPr>
          <w:rFonts w:ascii="Bookman Old Style" w:hAnsi="Bookman Old Style"/>
          <w:sz w:val="28"/>
          <w:szCs w:val="28"/>
          <w:lang w:val="el-GR"/>
        </w:rPr>
        <w:t xml:space="preserve">Γι’  αυτό, ήταν εύλογο </w:t>
      </w:r>
      <w:r w:rsidR="00824825">
        <w:rPr>
          <w:rFonts w:ascii="Bookman Old Style" w:hAnsi="Bookman Old Style"/>
          <w:sz w:val="28"/>
          <w:szCs w:val="28"/>
          <w:lang w:val="el-GR"/>
        </w:rPr>
        <w:t xml:space="preserve">για </w:t>
      </w:r>
      <w:r w:rsidR="00C951BF">
        <w:rPr>
          <w:rFonts w:ascii="Bookman Old Style" w:hAnsi="Bookman Old Style"/>
          <w:sz w:val="28"/>
          <w:szCs w:val="28"/>
          <w:lang w:val="el-GR"/>
        </w:rPr>
        <w:t xml:space="preserve">το πρωτόδικο Δικαστήριο να θεωρήσει πως τελικώς παρέμεινε </w:t>
      </w:r>
      <w:r w:rsidR="000202F5">
        <w:rPr>
          <w:rFonts w:ascii="Bookman Old Style" w:hAnsi="Bookman Old Style"/>
          <w:sz w:val="28"/>
          <w:szCs w:val="28"/>
          <w:lang w:val="el-GR"/>
        </w:rPr>
        <w:t xml:space="preserve">αναπάντητο το ερώτημα πώς </w:t>
      </w:r>
      <w:r w:rsidR="00C951BF">
        <w:rPr>
          <w:rFonts w:ascii="Bookman Old Style" w:hAnsi="Bookman Old Style"/>
          <w:sz w:val="28"/>
          <w:szCs w:val="28"/>
          <w:lang w:val="el-GR"/>
        </w:rPr>
        <w:t xml:space="preserve">ο </w:t>
      </w:r>
      <w:r w:rsidR="00824825">
        <w:rPr>
          <w:rFonts w:ascii="Bookman Old Style" w:hAnsi="Bookman Old Style"/>
          <w:sz w:val="28"/>
          <w:szCs w:val="28"/>
          <w:lang w:val="el-GR"/>
        </w:rPr>
        <w:t>μάρτυρας</w:t>
      </w:r>
      <w:r w:rsidR="00C951BF">
        <w:rPr>
          <w:rFonts w:ascii="Bookman Old Style" w:hAnsi="Bookman Old Style"/>
          <w:sz w:val="28"/>
          <w:szCs w:val="28"/>
          <w:lang w:val="el-GR"/>
        </w:rPr>
        <w:t xml:space="preserve"> </w:t>
      </w:r>
      <w:r w:rsidR="000202F5">
        <w:rPr>
          <w:rFonts w:ascii="Bookman Old Style" w:hAnsi="Bookman Old Style"/>
          <w:sz w:val="28"/>
          <w:szCs w:val="28"/>
          <w:lang w:val="el-GR"/>
        </w:rPr>
        <w:t xml:space="preserve">γνώριζε ότι </w:t>
      </w:r>
      <w:r w:rsidR="00C951BF">
        <w:rPr>
          <w:rFonts w:ascii="Bookman Old Style" w:hAnsi="Bookman Old Style"/>
          <w:sz w:val="28"/>
          <w:szCs w:val="28"/>
          <w:lang w:val="el-GR"/>
        </w:rPr>
        <w:t xml:space="preserve">ο Εφεσίβλητος </w:t>
      </w:r>
      <w:r w:rsidR="00162EC8">
        <w:rPr>
          <w:rFonts w:ascii="Bookman Old Style" w:hAnsi="Bookman Old Style"/>
          <w:sz w:val="28"/>
          <w:szCs w:val="28"/>
          <w:lang w:val="el-GR"/>
        </w:rPr>
        <w:t>προέβη σ</w:t>
      </w:r>
      <w:r w:rsidR="000202F5">
        <w:rPr>
          <w:rFonts w:ascii="Bookman Old Style" w:hAnsi="Bookman Old Style"/>
          <w:sz w:val="28"/>
          <w:szCs w:val="28"/>
          <w:lang w:val="el-GR"/>
        </w:rPr>
        <w:t>τα στοιχήματα</w:t>
      </w:r>
      <w:r w:rsidR="000202F5" w:rsidRPr="00A40C60">
        <w:rPr>
          <w:rFonts w:ascii="Bookman Old Style" w:hAnsi="Bookman Old Style"/>
          <w:sz w:val="28"/>
          <w:szCs w:val="28"/>
          <w:lang w:val="el-GR"/>
        </w:rPr>
        <w:t>, από τη στιγμή που δέχθηκε ότι</w:t>
      </w:r>
      <w:r w:rsidR="004D20C2">
        <w:rPr>
          <w:rFonts w:ascii="Bookman Old Style" w:hAnsi="Bookman Old Style"/>
          <w:sz w:val="28"/>
          <w:szCs w:val="28"/>
          <w:lang w:val="el-GR"/>
        </w:rPr>
        <w:t xml:space="preserve"> δεν μπορούσε να καθορίσει </w:t>
      </w:r>
      <w:r w:rsidR="00097B49">
        <w:rPr>
          <w:rFonts w:ascii="Bookman Old Style" w:hAnsi="Bookman Old Style"/>
          <w:sz w:val="28"/>
          <w:szCs w:val="28"/>
          <w:lang w:val="el-GR"/>
        </w:rPr>
        <w:t xml:space="preserve">σε </w:t>
      </w:r>
      <w:r w:rsidR="004D20C2">
        <w:rPr>
          <w:rFonts w:ascii="Bookman Old Style" w:hAnsi="Bookman Old Style"/>
          <w:sz w:val="28"/>
          <w:szCs w:val="28"/>
          <w:lang w:val="el-GR"/>
        </w:rPr>
        <w:t xml:space="preserve">ποια </w:t>
      </w:r>
      <w:r w:rsidR="00097B49">
        <w:rPr>
          <w:rFonts w:ascii="Bookman Old Style" w:hAnsi="Bookman Old Style"/>
          <w:sz w:val="28"/>
          <w:szCs w:val="28"/>
          <w:lang w:val="el-GR"/>
        </w:rPr>
        <w:t xml:space="preserve">στοιχήματα προέβη </w:t>
      </w:r>
      <w:r w:rsidR="004D20C2">
        <w:rPr>
          <w:rFonts w:ascii="Bookman Old Style" w:hAnsi="Bookman Old Style"/>
          <w:sz w:val="28"/>
          <w:szCs w:val="28"/>
          <w:lang w:val="el-GR"/>
        </w:rPr>
        <w:t xml:space="preserve">ο Εφεσίβλητος με βάση τις αποδείξεις του συγκεκριμένου χρόνου εφόσον τότε </w:t>
      </w:r>
      <w:r w:rsidR="00097B49">
        <w:rPr>
          <w:rFonts w:ascii="Bookman Old Style" w:hAnsi="Bookman Old Style"/>
          <w:sz w:val="28"/>
          <w:szCs w:val="28"/>
          <w:lang w:val="el-GR"/>
        </w:rPr>
        <w:t>στοιχημάτι</w:t>
      </w:r>
      <w:r w:rsidR="00C85EE3">
        <w:rPr>
          <w:rFonts w:ascii="Bookman Old Style" w:hAnsi="Bookman Old Style"/>
          <w:sz w:val="28"/>
          <w:szCs w:val="28"/>
          <w:lang w:val="el-GR"/>
        </w:rPr>
        <w:t>σ</w:t>
      </w:r>
      <w:r w:rsidR="00097B49">
        <w:rPr>
          <w:rFonts w:ascii="Bookman Old Style" w:hAnsi="Bookman Old Style"/>
          <w:sz w:val="28"/>
          <w:szCs w:val="28"/>
          <w:lang w:val="el-GR"/>
        </w:rPr>
        <w:t xml:space="preserve">αν </w:t>
      </w:r>
      <w:r w:rsidR="004D20C2">
        <w:rPr>
          <w:rFonts w:ascii="Bookman Old Style" w:hAnsi="Bookman Old Style"/>
          <w:sz w:val="28"/>
          <w:szCs w:val="28"/>
          <w:lang w:val="el-GR"/>
        </w:rPr>
        <w:t>και άλλοι πελάτες</w:t>
      </w:r>
      <w:r w:rsidR="000202F5" w:rsidRPr="00A40C60">
        <w:rPr>
          <w:rFonts w:ascii="Bookman Old Style" w:hAnsi="Bookman Old Style"/>
          <w:sz w:val="28"/>
          <w:szCs w:val="28"/>
          <w:lang w:val="el-GR"/>
        </w:rPr>
        <w:t>.</w:t>
      </w:r>
      <w:r w:rsidR="000202F5">
        <w:rPr>
          <w:rFonts w:ascii="Bookman Old Style" w:hAnsi="Bookman Old Style"/>
          <w:sz w:val="28"/>
          <w:szCs w:val="28"/>
          <w:lang w:val="el-GR"/>
        </w:rPr>
        <w:t xml:space="preserve"> Σαφώς πρόκειται για μαρτυρία η οποία ήταν παντελώς γενική, αόριστη, ασαφής και προερχόταν από απλή πληροφόρηση από την ίδια την Εφεσίβλητη, στην οποία ο ίδιος επιρρίπτει </w:t>
      </w:r>
      <w:r w:rsidR="00CF555A">
        <w:rPr>
          <w:rFonts w:ascii="Bookman Old Style" w:hAnsi="Bookman Old Style"/>
          <w:sz w:val="28"/>
          <w:szCs w:val="28"/>
          <w:lang w:val="el-GR"/>
        </w:rPr>
        <w:t xml:space="preserve">κακοπιστία και απάτη εις βάρος της </w:t>
      </w:r>
      <w:proofErr w:type="spellStart"/>
      <w:r w:rsidR="00CF555A">
        <w:rPr>
          <w:rFonts w:ascii="Bookman Old Style" w:hAnsi="Bookman Old Style"/>
          <w:sz w:val="28"/>
          <w:szCs w:val="28"/>
          <w:lang w:val="el-GR"/>
        </w:rPr>
        <w:t>Εφεσείουσας</w:t>
      </w:r>
      <w:proofErr w:type="spellEnd"/>
      <w:r w:rsidR="00CF555A">
        <w:rPr>
          <w:rFonts w:ascii="Bookman Old Style" w:hAnsi="Bookman Old Style"/>
          <w:sz w:val="28"/>
          <w:szCs w:val="28"/>
          <w:lang w:val="el-GR"/>
        </w:rPr>
        <w:t xml:space="preserve">. Επομένως, ορθώς το πρωτόδικο Δικαστήριο </w:t>
      </w:r>
      <w:r w:rsidR="00071D3B">
        <w:rPr>
          <w:rFonts w:ascii="Bookman Old Style" w:hAnsi="Bookman Old Style"/>
          <w:sz w:val="28"/>
          <w:szCs w:val="28"/>
          <w:lang w:val="el-GR"/>
        </w:rPr>
        <w:t xml:space="preserve">δεν δέχθηκε αυτή τη μαρτυρία </w:t>
      </w:r>
      <w:r w:rsidR="001F1B8B">
        <w:rPr>
          <w:rFonts w:ascii="Bookman Old Style" w:hAnsi="Bookman Old Style"/>
          <w:sz w:val="28"/>
          <w:szCs w:val="28"/>
          <w:lang w:val="el-GR"/>
        </w:rPr>
        <w:t xml:space="preserve">ως αξιόπιστη </w:t>
      </w:r>
      <w:r w:rsidR="00071D3B">
        <w:rPr>
          <w:rFonts w:ascii="Bookman Old Style" w:hAnsi="Bookman Old Style"/>
          <w:sz w:val="28"/>
          <w:szCs w:val="28"/>
          <w:lang w:val="el-GR"/>
        </w:rPr>
        <w:t xml:space="preserve">και ορθώς έκρινε ότι υπό τις περιστάσεις ήταν αναγκαία </w:t>
      </w:r>
      <w:r w:rsidR="0033499A">
        <w:rPr>
          <w:rFonts w:ascii="Bookman Old Style" w:hAnsi="Bookman Old Style"/>
          <w:sz w:val="28"/>
          <w:szCs w:val="28"/>
          <w:lang w:val="el-GR"/>
        </w:rPr>
        <w:t>η παρουσίαση μαρτυρίας που να υποστηρίζει</w:t>
      </w:r>
      <w:r w:rsidR="00C25BE3">
        <w:rPr>
          <w:rFonts w:ascii="Bookman Old Style" w:hAnsi="Bookman Old Style"/>
          <w:sz w:val="28"/>
          <w:szCs w:val="28"/>
          <w:lang w:val="el-GR"/>
        </w:rPr>
        <w:t xml:space="preserve"> τις θέσεις της </w:t>
      </w:r>
      <w:proofErr w:type="spellStart"/>
      <w:r w:rsidR="00C25BE3">
        <w:rPr>
          <w:rFonts w:ascii="Bookman Old Style" w:hAnsi="Bookman Old Style"/>
          <w:sz w:val="28"/>
          <w:szCs w:val="28"/>
          <w:lang w:val="el-GR"/>
        </w:rPr>
        <w:t>Εφεσείουσας</w:t>
      </w:r>
      <w:proofErr w:type="spellEnd"/>
      <w:r w:rsidR="00071D3B">
        <w:rPr>
          <w:rFonts w:ascii="Bookman Old Style" w:hAnsi="Bookman Old Style"/>
          <w:sz w:val="28"/>
          <w:szCs w:val="28"/>
          <w:lang w:val="el-GR"/>
        </w:rPr>
        <w:t xml:space="preserve">. </w:t>
      </w:r>
      <w:r w:rsidR="000A4F2E">
        <w:rPr>
          <w:rFonts w:ascii="Bookman Old Style" w:hAnsi="Bookman Old Style"/>
          <w:sz w:val="28"/>
          <w:szCs w:val="28"/>
          <w:lang w:val="el-GR"/>
        </w:rPr>
        <w:t xml:space="preserve">Βασικά η μαρτυρία του </w:t>
      </w:r>
      <w:r w:rsidR="00824825">
        <w:rPr>
          <w:rFonts w:ascii="Bookman Old Style" w:hAnsi="Bookman Old Style"/>
          <w:sz w:val="28"/>
          <w:szCs w:val="28"/>
          <w:lang w:val="el-GR"/>
        </w:rPr>
        <w:t>διευθυντή της</w:t>
      </w:r>
      <w:r w:rsidR="000A4F2E">
        <w:rPr>
          <w:rFonts w:ascii="Bookman Old Style" w:hAnsi="Bookman Old Style"/>
          <w:sz w:val="28"/>
          <w:szCs w:val="28"/>
          <w:lang w:val="el-GR"/>
        </w:rPr>
        <w:t xml:space="preserve"> αφορούσε μια αόριστη και αντιφατική εκδοχή, </w:t>
      </w:r>
      <w:r w:rsidR="009D10C1">
        <w:rPr>
          <w:rFonts w:ascii="Bookman Old Style" w:hAnsi="Bookman Old Style"/>
          <w:sz w:val="28"/>
          <w:szCs w:val="28"/>
          <w:lang w:val="el-GR"/>
        </w:rPr>
        <w:t xml:space="preserve">και </w:t>
      </w:r>
      <w:r w:rsidR="000A4F2E">
        <w:rPr>
          <w:rFonts w:ascii="Bookman Old Style" w:hAnsi="Bookman Old Style"/>
          <w:sz w:val="28"/>
          <w:szCs w:val="28"/>
          <w:lang w:val="el-GR"/>
        </w:rPr>
        <w:t xml:space="preserve">χωρίς οποιαδήποτε προσωπική </w:t>
      </w:r>
      <w:r w:rsidR="000A4F2E">
        <w:rPr>
          <w:rFonts w:ascii="Bookman Old Style" w:hAnsi="Bookman Old Style"/>
          <w:sz w:val="28"/>
          <w:szCs w:val="28"/>
          <w:lang w:val="el-GR"/>
        </w:rPr>
        <w:lastRenderedPageBreak/>
        <w:t>γνώση και εμπλοκή του ιδίου, στηριζόμενη μόνο στα όσα τον ενημέρωσε η Εφεσίβλητη</w:t>
      </w:r>
      <w:r w:rsidR="00A75B55">
        <w:rPr>
          <w:rFonts w:ascii="Bookman Old Style" w:hAnsi="Bookman Old Style"/>
          <w:sz w:val="28"/>
          <w:szCs w:val="28"/>
          <w:lang w:val="el-GR"/>
        </w:rPr>
        <w:t xml:space="preserve"> και χωρίς οποιαδήποτε τεκμηρίωση. </w:t>
      </w:r>
    </w:p>
    <w:p w14:paraId="1AA19E6A" w14:textId="0B66453D" w:rsidR="00071D3B" w:rsidRDefault="00824825" w:rsidP="00F00108">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r w:rsidR="00071D3B">
        <w:rPr>
          <w:rFonts w:ascii="Bookman Old Style" w:hAnsi="Bookman Old Style"/>
          <w:sz w:val="28"/>
          <w:szCs w:val="28"/>
          <w:lang w:val="el-GR"/>
        </w:rPr>
        <w:t xml:space="preserve">διαπίστωση μας </w:t>
      </w:r>
      <w:r>
        <w:rPr>
          <w:rFonts w:ascii="Bookman Old Style" w:hAnsi="Bookman Old Style"/>
          <w:sz w:val="28"/>
          <w:szCs w:val="28"/>
          <w:lang w:val="el-GR"/>
        </w:rPr>
        <w:t xml:space="preserve">αυτή, </w:t>
      </w:r>
      <w:r w:rsidR="00071D3B">
        <w:rPr>
          <w:rFonts w:ascii="Bookman Old Style" w:hAnsi="Bookman Old Style"/>
          <w:sz w:val="28"/>
          <w:szCs w:val="28"/>
          <w:lang w:val="el-GR"/>
        </w:rPr>
        <w:t>κα</w:t>
      </w:r>
      <w:r w:rsidR="006B1291">
        <w:rPr>
          <w:rFonts w:ascii="Bookman Old Style" w:hAnsi="Bookman Old Style"/>
          <w:sz w:val="28"/>
          <w:szCs w:val="28"/>
          <w:lang w:val="el-GR"/>
        </w:rPr>
        <w:t xml:space="preserve">θιστά αβάσιμο και τον τέταρτο λόγο έφεσης, ο οποίος αφορά στο ότι εσφαλμένα το πρωτόδικο Δικαστήριο κατέληξε πως η </w:t>
      </w:r>
      <w:proofErr w:type="spellStart"/>
      <w:r w:rsidR="006B1291">
        <w:rPr>
          <w:rFonts w:ascii="Bookman Old Style" w:hAnsi="Bookman Old Style"/>
          <w:sz w:val="28"/>
          <w:szCs w:val="28"/>
          <w:lang w:val="el-GR"/>
        </w:rPr>
        <w:t>Εφεσείουσα</w:t>
      </w:r>
      <w:proofErr w:type="spellEnd"/>
      <w:r w:rsidR="006B1291">
        <w:rPr>
          <w:rFonts w:ascii="Bookman Old Style" w:hAnsi="Bookman Old Style"/>
          <w:sz w:val="28"/>
          <w:szCs w:val="28"/>
          <w:lang w:val="el-GR"/>
        </w:rPr>
        <w:t xml:space="preserve"> όφειλε να παρουσιάσει τα κουπόνια των στοιχημάτων </w:t>
      </w:r>
      <w:r>
        <w:rPr>
          <w:rFonts w:ascii="Bookman Old Style" w:hAnsi="Bookman Old Style"/>
          <w:sz w:val="28"/>
          <w:szCs w:val="28"/>
          <w:lang w:val="el-GR"/>
        </w:rPr>
        <w:t>σ</w:t>
      </w:r>
      <w:r w:rsidR="006B1291">
        <w:rPr>
          <w:rFonts w:ascii="Bookman Old Style" w:hAnsi="Bookman Old Style"/>
          <w:sz w:val="28"/>
          <w:szCs w:val="28"/>
          <w:lang w:val="el-GR"/>
        </w:rPr>
        <w:t xml:space="preserve">τα οποία κατ’  ισχυρισμό </w:t>
      </w:r>
      <w:r>
        <w:rPr>
          <w:rFonts w:ascii="Bookman Old Style" w:hAnsi="Bookman Old Style"/>
          <w:sz w:val="28"/>
          <w:szCs w:val="28"/>
          <w:lang w:val="el-GR"/>
        </w:rPr>
        <w:t>προέβη</w:t>
      </w:r>
      <w:r w:rsidR="006B1291">
        <w:rPr>
          <w:rFonts w:ascii="Bookman Old Style" w:hAnsi="Bookman Old Style"/>
          <w:sz w:val="28"/>
          <w:szCs w:val="28"/>
          <w:lang w:val="el-GR"/>
        </w:rPr>
        <w:t xml:space="preserve"> ο Εφεσίβλητος</w:t>
      </w:r>
      <w:r w:rsidR="00DB148D">
        <w:rPr>
          <w:rFonts w:ascii="Bookman Old Style" w:hAnsi="Bookman Old Style"/>
          <w:sz w:val="28"/>
          <w:szCs w:val="28"/>
          <w:lang w:val="el-GR"/>
        </w:rPr>
        <w:t>.</w:t>
      </w:r>
      <w:r w:rsidR="00C25BE3">
        <w:rPr>
          <w:rFonts w:ascii="Bookman Old Style" w:hAnsi="Bookman Old Style"/>
          <w:sz w:val="28"/>
          <w:szCs w:val="28"/>
          <w:lang w:val="el-GR"/>
        </w:rPr>
        <w:t xml:space="preserve"> </w:t>
      </w:r>
      <w:r w:rsidR="00DB148D">
        <w:rPr>
          <w:rFonts w:ascii="Bookman Old Style" w:hAnsi="Bookman Old Style"/>
          <w:sz w:val="28"/>
          <w:szCs w:val="28"/>
          <w:lang w:val="el-GR"/>
        </w:rPr>
        <w:t xml:space="preserve">Επί τούτου σημειώνουμε </w:t>
      </w:r>
      <w:r w:rsidR="00C25BE3">
        <w:rPr>
          <w:rFonts w:ascii="Bookman Old Style" w:hAnsi="Bookman Old Style"/>
          <w:sz w:val="28"/>
          <w:szCs w:val="28"/>
          <w:lang w:val="el-GR"/>
        </w:rPr>
        <w:t xml:space="preserve">πως το πρωτόδικο Δικαστήριο δεν αναφέρθηκε συγκεκριμένα στην υποχρέωση παρουσίασης των κουπονιών αλλά γενικά σε μαρτυρία που να υποστηρίζει τις θέσεις της </w:t>
      </w:r>
      <w:proofErr w:type="spellStart"/>
      <w:r w:rsidR="00C25BE3">
        <w:rPr>
          <w:rFonts w:ascii="Bookman Old Style" w:hAnsi="Bookman Old Style"/>
          <w:sz w:val="28"/>
          <w:szCs w:val="28"/>
          <w:lang w:val="el-GR"/>
        </w:rPr>
        <w:t>Εφεσείουσας</w:t>
      </w:r>
      <w:proofErr w:type="spellEnd"/>
      <w:r w:rsidR="00C25BE3">
        <w:rPr>
          <w:rFonts w:ascii="Bookman Old Style" w:hAnsi="Bookman Old Style"/>
          <w:sz w:val="28"/>
          <w:szCs w:val="28"/>
          <w:lang w:val="el-GR"/>
        </w:rPr>
        <w:t>.</w:t>
      </w:r>
    </w:p>
    <w:p w14:paraId="21DD8B8A" w14:textId="6B1D4418" w:rsidR="00C951BF" w:rsidRDefault="00824825" w:rsidP="00F00108">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Στη βάση των πιο πάνω</w:t>
      </w:r>
      <w:r w:rsidR="00C951BF">
        <w:rPr>
          <w:rFonts w:ascii="Bookman Old Style" w:hAnsi="Bookman Old Style"/>
          <w:sz w:val="28"/>
          <w:szCs w:val="28"/>
          <w:lang w:val="el-GR"/>
        </w:rPr>
        <w:t xml:space="preserve">, θεωρούμε ότι το πρωτόδικο Δικαστήριο ορθώς κατέληξε ότι η </w:t>
      </w:r>
      <w:proofErr w:type="spellStart"/>
      <w:r w:rsidR="00C951BF">
        <w:rPr>
          <w:rFonts w:ascii="Bookman Old Style" w:hAnsi="Bookman Old Style"/>
          <w:sz w:val="28"/>
          <w:szCs w:val="28"/>
          <w:lang w:val="el-GR"/>
        </w:rPr>
        <w:t>Εφεσείουσα</w:t>
      </w:r>
      <w:proofErr w:type="spellEnd"/>
      <w:r w:rsidR="00C951BF">
        <w:rPr>
          <w:rFonts w:ascii="Bookman Old Style" w:hAnsi="Bookman Old Style"/>
          <w:sz w:val="28"/>
          <w:szCs w:val="28"/>
          <w:lang w:val="el-GR"/>
        </w:rPr>
        <w:t xml:space="preserve"> δεν απέδειξε την απαίτηση της εναντίον των Εφεσίβλητων στον απαιτούμενο βαθμό και</w:t>
      </w:r>
      <w:r>
        <w:rPr>
          <w:rFonts w:ascii="Bookman Old Style" w:hAnsi="Bookman Old Style"/>
          <w:sz w:val="28"/>
          <w:szCs w:val="28"/>
          <w:lang w:val="el-GR"/>
        </w:rPr>
        <w:t xml:space="preserve"> </w:t>
      </w:r>
      <w:r w:rsidR="00C951BF">
        <w:rPr>
          <w:rFonts w:ascii="Bookman Old Style" w:hAnsi="Bookman Old Style"/>
          <w:sz w:val="28"/>
          <w:szCs w:val="28"/>
          <w:lang w:val="el-GR"/>
        </w:rPr>
        <w:t xml:space="preserve">απέρριψε την Αγωγή. </w:t>
      </w:r>
    </w:p>
    <w:p w14:paraId="08355311" w14:textId="48804C8D" w:rsidR="00C951BF" w:rsidRDefault="00C951BF" w:rsidP="00F00108">
      <w:pPr>
        <w:spacing w:before="240" w:after="480" w:line="480" w:lineRule="auto"/>
        <w:ind w:firstLine="567"/>
        <w:jc w:val="both"/>
        <w:rPr>
          <w:rFonts w:ascii="Bookman Old Style" w:hAnsi="Bookman Old Style"/>
          <w:sz w:val="28"/>
          <w:szCs w:val="28"/>
          <w:lang w:val="el-GR"/>
        </w:rPr>
      </w:pPr>
      <w:r>
        <w:rPr>
          <w:rFonts w:ascii="Bookman Old Style" w:hAnsi="Bookman Old Style"/>
          <w:sz w:val="28"/>
          <w:szCs w:val="28"/>
          <w:lang w:val="el-GR"/>
        </w:rPr>
        <w:t>Με αυτή μας τη διαπίστωση</w:t>
      </w:r>
      <w:r w:rsidR="003851DC">
        <w:rPr>
          <w:rFonts w:ascii="Bookman Old Style" w:hAnsi="Bookman Old Style"/>
          <w:sz w:val="28"/>
          <w:szCs w:val="28"/>
          <w:lang w:val="el-GR"/>
        </w:rPr>
        <w:t xml:space="preserve"> η οποία και αποβαίνει καθοριστική ως προς την πορεία της Έφεσης</w:t>
      </w:r>
      <w:r>
        <w:rPr>
          <w:rFonts w:ascii="Bookman Old Style" w:hAnsi="Bookman Old Style"/>
          <w:sz w:val="28"/>
          <w:szCs w:val="28"/>
          <w:lang w:val="el-GR"/>
        </w:rPr>
        <w:t xml:space="preserve">, καθίσταται αχρείαστη η εξέταση </w:t>
      </w:r>
      <w:r w:rsidR="003851DC">
        <w:rPr>
          <w:rFonts w:ascii="Bookman Old Style" w:hAnsi="Bookman Old Style"/>
          <w:sz w:val="28"/>
          <w:szCs w:val="28"/>
          <w:lang w:val="el-GR"/>
        </w:rPr>
        <w:t xml:space="preserve">του πρώτου και του τρίτου λόγου έφεσης. </w:t>
      </w:r>
      <w:r>
        <w:rPr>
          <w:rFonts w:ascii="Bookman Old Style" w:hAnsi="Bookman Old Style"/>
          <w:sz w:val="28"/>
          <w:szCs w:val="28"/>
          <w:lang w:val="el-GR"/>
        </w:rPr>
        <w:t xml:space="preserve">Ο πέμπτος λόγος έφεσης </w:t>
      </w:r>
      <w:proofErr w:type="spellStart"/>
      <w:r>
        <w:rPr>
          <w:rFonts w:ascii="Bookman Old Style" w:hAnsi="Bookman Old Style"/>
          <w:sz w:val="28"/>
          <w:szCs w:val="28"/>
          <w:lang w:val="el-GR"/>
        </w:rPr>
        <w:t>απεσύρθη</w:t>
      </w:r>
      <w:proofErr w:type="spellEnd"/>
      <w:r>
        <w:rPr>
          <w:rFonts w:ascii="Bookman Old Style" w:hAnsi="Bookman Old Style"/>
          <w:sz w:val="28"/>
          <w:szCs w:val="28"/>
          <w:lang w:val="el-GR"/>
        </w:rPr>
        <w:t xml:space="preserve">. </w:t>
      </w:r>
    </w:p>
    <w:p w14:paraId="46D1B001" w14:textId="55A5A61F" w:rsidR="00781FDF" w:rsidRDefault="00F7602E" w:rsidP="008B31BA">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Σύμφωνα με όσα αναφέρονται ανωτέρω, η Έφεση κρίνεται αβάσιμη και απορρίπτεται. Επιδικάζονται </w:t>
      </w:r>
      <w:r w:rsidR="0060530D">
        <w:rPr>
          <w:rFonts w:ascii="Bookman Old Style" w:hAnsi="Bookman Old Style"/>
          <w:sz w:val="28"/>
          <w:szCs w:val="28"/>
          <w:lang w:val="el-GR"/>
        </w:rPr>
        <w:t xml:space="preserve">υπέρ των Εφεσίβλητων και εναντίον της </w:t>
      </w:r>
      <w:proofErr w:type="spellStart"/>
      <w:r w:rsidR="0060530D">
        <w:rPr>
          <w:rFonts w:ascii="Bookman Old Style" w:hAnsi="Bookman Old Style"/>
          <w:sz w:val="28"/>
          <w:szCs w:val="28"/>
          <w:lang w:val="el-GR"/>
        </w:rPr>
        <w:t>Εφεσείουσας</w:t>
      </w:r>
      <w:proofErr w:type="spellEnd"/>
      <w:r w:rsidR="0060530D">
        <w:rPr>
          <w:rFonts w:ascii="Bookman Old Style" w:hAnsi="Bookman Old Style"/>
          <w:sz w:val="28"/>
          <w:szCs w:val="28"/>
          <w:lang w:val="el-GR"/>
        </w:rPr>
        <w:t xml:space="preserve"> €</w:t>
      </w:r>
      <w:r w:rsidR="00D501D0">
        <w:rPr>
          <w:rFonts w:ascii="Bookman Old Style" w:hAnsi="Bookman Old Style"/>
          <w:sz w:val="28"/>
          <w:szCs w:val="28"/>
          <w:lang w:val="el-GR"/>
        </w:rPr>
        <w:t>2</w:t>
      </w:r>
      <w:r w:rsidR="0060530D">
        <w:rPr>
          <w:rFonts w:ascii="Bookman Old Style" w:hAnsi="Bookman Old Style"/>
          <w:sz w:val="28"/>
          <w:szCs w:val="28"/>
          <w:lang w:val="el-GR"/>
        </w:rPr>
        <w:t>.</w:t>
      </w:r>
      <w:r w:rsidR="00824825">
        <w:rPr>
          <w:rFonts w:ascii="Bookman Old Style" w:hAnsi="Bookman Old Style"/>
          <w:sz w:val="28"/>
          <w:szCs w:val="28"/>
          <w:lang w:val="el-GR"/>
        </w:rPr>
        <w:t>5</w:t>
      </w:r>
      <w:r w:rsidR="0060530D">
        <w:rPr>
          <w:rFonts w:ascii="Bookman Old Style" w:hAnsi="Bookman Old Style"/>
          <w:sz w:val="28"/>
          <w:szCs w:val="28"/>
          <w:lang w:val="el-GR"/>
        </w:rPr>
        <w:t xml:space="preserve">00 έξοδα έφεσης πλέον ΦΠΑ εάν υπάρχει. </w:t>
      </w:r>
    </w:p>
    <w:p w14:paraId="13C30AB3" w14:textId="77777777" w:rsidR="00781FDF" w:rsidRDefault="00781FDF" w:rsidP="00781FDF">
      <w:pPr>
        <w:spacing w:before="240" w:line="480" w:lineRule="auto"/>
        <w:ind w:firstLine="567"/>
        <w:jc w:val="both"/>
        <w:rPr>
          <w:rFonts w:ascii="Bookman Old Style" w:hAnsi="Bookman Old Style"/>
          <w:sz w:val="28"/>
          <w:szCs w:val="28"/>
          <w:lang w:val="el-GR"/>
        </w:rPr>
      </w:pPr>
    </w:p>
    <w:p w14:paraId="1D84D974" w14:textId="52BF35AD" w:rsidR="008B31BA" w:rsidRDefault="00781FDF" w:rsidP="008B31BA">
      <w:pPr>
        <w:spacing w:after="0" w:line="240" w:lineRule="auto"/>
        <w:ind w:left="5040" w:firstLine="720"/>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sidR="008B31BA" w:rsidRPr="00A83BF6">
        <w:rPr>
          <w:rFonts w:ascii="Bookman Old Style" w:hAnsi="Bookman Old Style"/>
          <w:sz w:val="28"/>
          <w:szCs w:val="28"/>
          <w:lang w:val="el-GR"/>
        </w:rPr>
        <w:t>Χ. ΜΑΛΑΧΤΟΣ, Δ.</w:t>
      </w:r>
    </w:p>
    <w:p w14:paraId="0C96FE40" w14:textId="77777777" w:rsidR="008B31BA" w:rsidRPr="00A83BF6" w:rsidRDefault="008B31BA" w:rsidP="008B31BA">
      <w:pPr>
        <w:spacing w:after="0" w:line="240" w:lineRule="auto"/>
        <w:ind w:left="5040" w:firstLine="720"/>
        <w:jc w:val="both"/>
        <w:rPr>
          <w:rFonts w:ascii="Bookman Old Style" w:hAnsi="Bookman Old Style"/>
          <w:sz w:val="28"/>
          <w:szCs w:val="28"/>
          <w:lang w:val="el-GR"/>
        </w:rPr>
      </w:pPr>
    </w:p>
    <w:p w14:paraId="17A49F31" w14:textId="77777777" w:rsidR="008B31BA" w:rsidRDefault="008B31BA" w:rsidP="008B31BA">
      <w:pPr>
        <w:spacing w:after="0" w:line="240" w:lineRule="auto"/>
        <w:jc w:val="both"/>
        <w:rPr>
          <w:rFonts w:ascii="Bookman Old Style" w:hAnsi="Bookman Old Style"/>
          <w:sz w:val="28"/>
          <w:szCs w:val="28"/>
          <w:lang w:val="el-GR"/>
        </w:rPr>
      </w:pPr>
    </w:p>
    <w:p w14:paraId="217BC849" w14:textId="77777777" w:rsidR="008B31BA" w:rsidRDefault="008B31BA" w:rsidP="008B31BA">
      <w:pPr>
        <w:spacing w:after="0" w:line="240" w:lineRule="auto"/>
        <w:ind w:left="5040" w:firstLine="720"/>
        <w:jc w:val="both"/>
        <w:rPr>
          <w:rFonts w:ascii="Bookman Old Style" w:hAnsi="Bookman Old Style"/>
          <w:sz w:val="28"/>
          <w:szCs w:val="28"/>
          <w:lang w:val="el-GR"/>
        </w:rPr>
      </w:pPr>
    </w:p>
    <w:p w14:paraId="24BF55D0" w14:textId="77777777" w:rsidR="008B31BA" w:rsidRDefault="008B31BA" w:rsidP="008B31BA">
      <w:pPr>
        <w:spacing w:after="0" w:line="240" w:lineRule="auto"/>
        <w:ind w:left="5040" w:firstLine="720"/>
        <w:jc w:val="both"/>
        <w:rPr>
          <w:rFonts w:ascii="Bookman Old Style" w:hAnsi="Bookman Old Style"/>
          <w:sz w:val="28"/>
          <w:szCs w:val="28"/>
          <w:lang w:val="el-GR"/>
        </w:rPr>
      </w:pPr>
      <w:r w:rsidRPr="00A83BF6">
        <w:rPr>
          <w:rFonts w:ascii="Bookman Old Style" w:hAnsi="Bookman Old Style"/>
          <w:sz w:val="28"/>
          <w:szCs w:val="28"/>
          <w:lang w:val="el-GR"/>
        </w:rPr>
        <w:t>Ι. ΙΩΑΝΝΙΔΗΣ, Δ.</w:t>
      </w:r>
    </w:p>
    <w:p w14:paraId="5B4BD65E" w14:textId="77777777" w:rsidR="008B31BA" w:rsidRDefault="008B31BA" w:rsidP="008B31BA">
      <w:pPr>
        <w:spacing w:after="0" w:line="240" w:lineRule="auto"/>
        <w:ind w:left="5040" w:firstLine="720"/>
        <w:jc w:val="both"/>
        <w:rPr>
          <w:rFonts w:ascii="Bookman Old Style" w:hAnsi="Bookman Old Style"/>
          <w:sz w:val="28"/>
          <w:szCs w:val="28"/>
          <w:lang w:val="el-GR"/>
        </w:rPr>
      </w:pPr>
    </w:p>
    <w:p w14:paraId="076BAAC5" w14:textId="77777777" w:rsidR="008B31BA" w:rsidRPr="00A83BF6" w:rsidRDefault="008B31BA" w:rsidP="008B31BA">
      <w:pPr>
        <w:spacing w:after="0" w:line="240" w:lineRule="auto"/>
        <w:jc w:val="both"/>
        <w:rPr>
          <w:rFonts w:ascii="Bookman Old Style" w:hAnsi="Bookman Old Style"/>
          <w:sz w:val="28"/>
          <w:szCs w:val="28"/>
          <w:lang w:val="el-GR"/>
        </w:rPr>
      </w:pPr>
    </w:p>
    <w:p w14:paraId="4882FA25" w14:textId="77777777" w:rsidR="008B31BA" w:rsidRPr="00A83BF6" w:rsidRDefault="008B31BA" w:rsidP="008B31BA">
      <w:pPr>
        <w:spacing w:after="0" w:line="240" w:lineRule="auto"/>
        <w:jc w:val="both"/>
        <w:rPr>
          <w:rFonts w:ascii="Bookman Old Style" w:hAnsi="Bookman Old Style"/>
          <w:sz w:val="28"/>
          <w:szCs w:val="28"/>
          <w:lang w:val="el-GR"/>
        </w:rPr>
      </w:pPr>
    </w:p>
    <w:p w14:paraId="63C32838" w14:textId="77777777" w:rsidR="008B31BA" w:rsidRDefault="008B31BA" w:rsidP="008B31BA">
      <w:pPr>
        <w:spacing w:after="0" w:line="240" w:lineRule="auto"/>
        <w:jc w:val="both"/>
        <w:rPr>
          <w:rFonts w:ascii="Bookman Old Style" w:hAnsi="Bookman Old Style"/>
          <w:sz w:val="28"/>
          <w:szCs w:val="28"/>
          <w:lang w:val="el-GR"/>
        </w:rPr>
      </w:pP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FE4B17">
        <w:rPr>
          <w:rFonts w:ascii="Bookman Old Style" w:hAnsi="Bookman Old Style"/>
          <w:sz w:val="28"/>
          <w:szCs w:val="28"/>
          <w:lang w:val="el-GR"/>
        </w:rPr>
        <w:t>Ε. ΕΦΡΑΙΜ, Δ.</w:t>
      </w:r>
    </w:p>
    <w:p w14:paraId="50EAD0D2" w14:textId="77777777" w:rsidR="008B31BA" w:rsidRDefault="008B31BA" w:rsidP="008B31BA">
      <w:pPr>
        <w:spacing w:after="0" w:line="240" w:lineRule="auto"/>
        <w:jc w:val="both"/>
        <w:rPr>
          <w:rFonts w:ascii="Bookman Old Style" w:hAnsi="Bookman Old Style"/>
          <w:sz w:val="28"/>
          <w:szCs w:val="28"/>
          <w:lang w:val="el-GR"/>
        </w:rPr>
      </w:pPr>
    </w:p>
    <w:p w14:paraId="5B59F861" w14:textId="77777777" w:rsidR="008B31BA" w:rsidRDefault="008B31BA" w:rsidP="008B31BA">
      <w:pPr>
        <w:spacing w:after="0" w:line="240" w:lineRule="auto"/>
        <w:jc w:val="both"/>
        <w:rPr>
          <w:rFonts w:ascii="Bookman Old Style" w:hAnsi="Bookman Old Style"/>
          <w:sz w:val="28"/>
          <w:szCs w:val="28"/>
          <w:lang w:val="el-GR"/>
        </w:rPr>
      </w:pPr>
    </w:p>
    <w:p w14:paraId="18547A78" w14:textId="77777777" w:rsidR="008B31BA" w:rsidRDefault="008B31BA" w:rsidP="008B31BA">
      <w:pPr>
        <w:spacing w:after="0" w:line="240" w:lineRule="auto"/>
        <w:jc w:val="both"/>
        <w:rPr>
          <w:rFonts w:ascii="Bookman Old Style" w:hAnsi="Bookman Old Style"/>
          <w:sz w:val="28"/>
          <w:szCs w:val="28"/>
          <w:lang w:val="el-GR"/>
        </w:rPr>
      </w:pPr>
    </w:p>
    <w:p w14:paraId="44028C53" w14:textId="77777777" w:rsidR="00855E30" w:rsidRDefault="00855E30" w:rsidP="008B31BA">
      <w:pPr>
        <w:spacing w:after="0" w:line="240" w:lineRule="auto"/>
        <w:jc w:val="both"/>
        <w:rPr>
          <w:rFonts w:ascii="Bookman Old Style" w:hAnsi="Bookman Old Style"/>
          <w:sz w:val="28"/>
          <w:szCs w:val="28"/>
          <w:lang w:val="el-GR"/>
        </w:rPr>
      </w:pPr>
    </w:p>
    <w:p w14:paraId="6DF66591" w14:textId="77777777" w:rsidR="00855E30" w:rsidRDefault="00855E30" w:rsidP="008B31BA">
      <w:pPr>
        <w:spacing w:after="0" w:line="240" w:lineRule="auto"/>
        <w:jc w:val="both"/>
        <w:rPr>
          <w:rFonts w:ascii="Bookman Old Style" w:hAnsi="Bookman Old Style"/>
          <w:sz w:val="28"/>
          <w:szCs w:val="28"/>
          <w:lang w:val="el-GR"/>
        </w:rPr>
      </w:pPr>
    </w:p>
    <w:p w14:paraId="569C16EB" w14:textId="77777777" w:rsidR="00F00108" w:rsidRDefault="00F00108" w:rsidP="008B31BA">
      <w:pPr>
        <w:spacing w:after="0" w:line="240" w:lineRule="auto"/>
        <w:jc w:val="both"/>
        <w:rPr>
          <w:rFonts w:ascii="Bookman Old Style" w:hAnsi="Bookman Old Style"/>
          <w:sz w:val="28"/>
          <w:szCs w:val="28"/>
          <w:lang w:val="el-GR"/>
        </w:rPr>
      </w:pPr>
    </w:p>
    <w:p w14:paraId="4834F5C0" w14:textId="77777777" w:rsidR="00F00108" w:rsidRDefault="00F00108" w:rsidP="008B31BA">
      <w:pPr>
        <w:spacing w:after="0" w:line="240" w:lineRule="auto"/>
        <w:jc w:val="both"/>
        <w:rPr>
          <w:rFonts w:ascii="Bookman Old Style" w:hAnsi="Bookman Old Style"/>
          <w:sz w:val="28"/>
          <w:szCs w:val="28"/>
          <w:lang w:val="el-GR"/>
        </w:rPr>
      </w:pPr>
    </w:p>
    <w:p w14:paraId="3C2F1414" w14:textId="77777777" w:rsidR="00F00108" w:rsidRDefault="00F00108" w:rsidP="008B31BA">
      <w:pPr>
        <w:spacing w:after="0" w:line="240" w:lineRule="auto"/>
        <w:jc w:val="both"/>
        <w:rPr>
          <w:rFonts w:ascii="Bookman Old Style" w:hAnsi="Bookman Old Style"/>
          <w:sz w:val="28"/>
          <w:szCs w:val="28"/>
          <w:lang w:val="el-GR"/>
        </w:rPr>
      </w:pPr>
    </w:p>
    <w:p w14:paraId="3A5B941E" w14:textId="77777777" w:rsidR="00F00108" w:rsidRDefault="00F00108" w:rsidP="008B31BA">
      <w:pPr>
        <w:spacing w:after="0" w:line="240" w:lineRule="auto"/>
        <w:jc w:val="both"/>
        <w:rPr>
          <w:rFonts w:ascii="Bookman Old Style" w:hAnsi="Bookman Old Style"/>
          <w:sz w:val="28"/>
          <w:szCs w:val="28"/>
          <w:lang w:val="el-GR"/>
        </w:rPr>
      </w:pPr>
    </w:p>
    <w:p w14:paraId="095AB10F" w14:textId="77777777" w:rsidR="008B31BA" w:rsidRDefault="008B31BA" w:rsidP="008B31BA">
      <w:pPr>
        <w:spacing w:after="0" w:line="240" w:lineRule="auto"/>
        <w:jc w:val="both"/>
        <w:rPr>
          <w:rFonts w:ascii="Bookman Old Style" w:hAnsi="Bookman Old Style" w:cstheme="majorBidi"/>
          <w:sz w:val="28"/>
          <w:szCs w:val="28"/>
          <w:lang w:val="el-GR"/>
        </w:rPr>
      </w:pPr>
    </w:p>
    <w:p w14:paraId="7BEB0F3A" w14:textId="77777777" w:rsidR="008B31BA" w:rsidRPr="0053322E" w:rsidRDefault="008B31BA" w:rsidP="008B31BA">
      <w:pPr>
        <w:spacing w:after="0" w:line="240" w:lineRule="auto"/>
        <w:jc w:val="both"/>
        <w:rPr>
          <w:rFonts w:ascii="Bookman Old Style" w:hAnsi="Bookman Old Style"/>
          <w:sz w:val="28"/>
          <w:szCs w:val="28"/>
          <w:lang w:val="el-GR"/>
        </w:rPr>
      </w:pPr>
      <w:r>
        <w:rPr>
          <w:rFonts w:ascii="Bookman Old Style" w:hAnsi="Bookman Old Style" w:cstheme="majorBidi"/>
          <w:sz w:val="28"/>
          <w:szCs w:val="28"/>
          <w:lang w:val="el-GR"/>
        </w:rPr>
        <w:t>/</w:t>
      </w:r>
      <w:proofErr w:type="spellStart"/>
      <w:r>
        <w:rPr>
          <w:rFonts w:ascii="Bookman Old Style" w:hAnsi="Bookman Old Style" w:cstheme="majorBidi"/>
          <w:sz w:val="28"/>
          <w:szCs w:val="28"/>
          <w:lang w:val="el-GR"/>
        </w:rPr>
        <w:t>κβπ</w:t>
      </w:r>
      <w:proofErr w:type="spellEnd"/>
      <w:r>
        <w:rPr>
          <w:rFonts w:ascii="Bookman Old Style" w:hAnsi="Bookman Old Style" w:cstheme="majorBidi"/>
          <w:sz w:val="28"/>
          <w:szCs w:val="28"/>
          <w:lang w:val="el-GR"/>
        </w:rPr>
        <w:tab/>
      </w:r>
    </w:p>
    <w:p w14:paraId="34316248" w14:textId="4B3EEFE5" w:rsidR="00EB3A9E" w:rsidRPr="00110700" w:rsidRDefault="00EB3A9E" w:rsidP="00EB3A9E">
      <w:pPr>
        <w:spacing w:line="480" w:lineRule="auto"/>
        <w:ind w:firstLine="720"/>
        <w:jc w:val="both"/>
        <w:rPr>
          <w:rFonts w:ascii="Bookman Old Style" w:hAnsi="Bookman Old Style"/>
          <w:sz w:val="28"/>
          <w:szCs w:val="28"/>
          <w:lang w:val="el-GR"/>
        </w:rPr>
      </w:pPr>
    </w:p>
    <w:sectPr w:rsidR="00EB3A9E" w:rsidRPr="00110700" w:rsidSect="002F67A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07E3" w14:textId="77777777" w:rsidR="002F67AB" w:rsidRDefault="002F67AB" w:rsidP="009E1A9E">
      <w:pPr>
        <w:spacing w:after="0" w:line="240" w:lineRule="auto"/>
      </w:pPr>
      <w:r>
        <w:separator/>
      </w:r>
    </w:p>
  </w:endnote>
  <w:endnote w:type="continuationSeparator" w:id="0">
    <w:p w14:paraId="335D4156" w14:textId="77777777" w:rsidR="002F67AB" w:rsidRDefault="002F67AB" w:rsidP="009E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E901" w14:textId="77777777" w:rsidR="002F67AB" w:rsidRDefault="002F67AB" w:rsidP="009E1A9E">
      <w:pPr>
        <w:spacing w:after="0" w:line="240" w:lineRule="auto"/>
      </w:pPr>
      <w:r>
        <w:separator/>
      </w:r>
    </w:p>
  </w:footnote>
  <w:footnote w:type="continuationSeparator" w:id="0">
    <w:p w14:paraId="603057B4" w14:textId="77777777" w:rsidR="002F67AB" w:rsidRDefault="002F67AB" w:rsidP="009E1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020768"/>
      <w:docPartObj>
        <w:docPartGallery w:val="Page Numbers (Top of Page)"/>
        <w:docPartUnique/>
      </w:docPartObj>
    </w:sdtPr>
    <w:sdtEndPr>
      <w:rPr>
        <w:noProof/>
      </w:rPr>
    </w:sdtEndPr>
    <w:sdtContent>
      <w:p w14:paraId="585DF367" w14:textId="31D9D710" w:rsidR="009E1A9E" w:rsidRDefault="009E1A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8034A5" w14:textId="77777777" w:rsidR="009E1A9E" w:rsidRDefault="009E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0510"/>
    <w:multiLevelType w:val="hybridMultilevel"/>
    <w:tmpl w:val="BD0C0B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9035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00"/>
    <w:rsid w:val="000067F4"/>
    <w:rsid w:val="00011D9C"/>
    <w:rsid w:val="000202F5"/>
    <w:rsid w:val="000303BE"/>
    <w:rsid w:val="0003501A"/>
    <w:rsid w:val="00052249"/>
    <w:rsid w:val="00061392"/>
    <w:rsid w:val="000625EB"/>
    <w:rsid w:val="00064071"/>
    <w:rsid w:val="00071D3B"/>
    <w:rsid w:val="00090B58"/>
    <w:rsid w:val="00097B49"/>
    <w:rsid w:val="000A4F2E"/>
    <w:rsid w:val="000B763D"/>
    <w:rsid w:val="000C03F0"/>
    <w:rsid w:val="000C531A"/>
    <w:rsid w:val="000D6A48"/>
    <w:rsid w:val="000F630E"/>
    <w:rsid w:val="000F7625"/>
    <w:rsid w:val="0010750C"/>
    <w:rsid w:val="00110700"/>
    <w:rsid w:val="00110A78"/>
    <w:rsid w:val="00136116"/>
    <w:rsid w:val="001459F0"/>
    <w:rsid w:val="00146A91"/>
    <w:rsid w:val="00162EC8"/>
    <w:rsid w:val="001767ED"/>
    <w:rsid w:val="0017703A"/>
    <w:rsid w:val="00183EFC"/>
    <w:rsid w:val="001D6C36"/>
    <w:rsid w:val="001F1B8B"/>
    <w:rsid w:val="00205C70"/>
    <w:rsid w:val="00213CAC"/>
    <w:rsid w:val="00235426"/>
    <w:rsid w:val="00267C43"/>
    <w:rsid w:val="002719D8"/>
    <w:rsid w:val="002766DE"/>
    <w:rsid w:val="002C3772"/>
    <w:rsid w:val="002D267E"/>
    <w:rsid w:val="002E5CE4"/>
    <w:rsid w:val="002E7AB3"/>
    <w:rsid w:val="002F048B"/>
    <w:rsid w:val="002F67AB"/>
    <w:rsid w:val="00302D70"/>
    <w:rsid w:val="00302FAD"/>
    <w:rsid w:val="00330104"/>
    <w:rsid w:val="0033499A"/>
    <w:rsid w:val="00374B8B"/>
    <w:rsid w:val="00376302"/>
    <w:rsid w:val="003811F3"/>
    <w:rsid w:val="003851DC"/>
    <w:rsid w:val="003D7200"/>
    <w:rsid w:val="00431CB8"/>
    <w:rsid w:val="00436B64"/>
    <w:rsid w:val="00446701"/>
    <w:rsid w:val="00450DBD"/>
    <w:rsid w:val="00455030"/>
    <w:rsid w:val="00457411"/>
    <w:rsid w:val="00462A2C"/>
    <w:rsid w:val="00473310"/>
    <w:rsid w:val="00476C87"/>
    <w:rsid w:val="00480A2A"/>
    <w:rsid w:val="004A141B"/>
    <w:rsid w:val="004A6606"/>
    <w:rsid w:val="004B6C47"/>
    <w:rsid w:val="004C695F"/>
    <w:rsid w:val="004D20C2"/>
    <w:rsid w:val="004D5F99"/>
    <w:rsid w:val="004D74A4"/>
    <w:rsid w:val="004F1C86"/>
    <w:rsid w:val="004F3BA5"/>
    <w:rsid w:val="00506842"/>
    <w:rsid w:val="0051023B"/>
    <w:rsid w:val="00516A79"/>
    <w:rsid w:val="0053366F"/>
    <w:rsid w:val="00536A34"/>
    <w:rsid w:val="0054488F"/>
    <w:rsid w:val="005461E5"/>
    <w:rsid w:val="005537D8"/>
    <w:rsid w:val="00553C36"/>
    <w:rsid w:val="00572D32"/>
    <w:rsid w:val="00575352"/>
    <w:rsid w:val="00586333"/>
    <w:rsid w:val="00586928"/>
    <w:rsid w:val="005B3FB9"/>
    <w:rsid w:val="005C5851"/>
    <w:rsid w:val="005E5A50"/>
    <w:rsid w:val="00601E70"/>
    <w:rsid w:val="0060530D"/>
    <w:rsid w:val="006201F0"/>
    <w:rsid w:val="00634D83"/>
    <w:rsid w:val="00654BDA"/>
    <w:rsid w:val="0065523B"/>
    <w:rsid w:val="00660213"/>
    <w:rsid w:val="006A7B06"/>
    <w:rsid w:val="006A7BED"/>
    <w:rsid w:val="006B1291"/>
    <w:rsid w:val="006C22EF"/>
    <w:rsid w:val="006D7AB5"/>
    <w:rsid w:val="006F3D3A"/>
    <w:rsid w:val="00770138"/>
    <w:rsid w:val="00781FDF"/>
    <w:rsid w:val="00794B63"/>
    <w:rsid w:val="007A619D"/>
    <w:rsid w:val="007C4FDF"/>
    <w:rsid w:val="007E2F09"/>
    <w:rsid w:val="007F5B68"/>
    <w:rsid w:val="008014B4"/>
    <w:rsid w:val="00807B24"/>
    <w:rsid w:val="00816E6D"/>
    <w:rsid w:val="00824825"/>
    <w:rsid w:val="00826404"/>
    <w:rsid w:val="00841825"/>
    <w:rsid w:val="00855E30"/>
    <w:rsid w:val="008621C2"/>
    <w:rsid w:val="00877FA2"/>
    <w:rsid w:val="0089444C"/>
    <w:rsid w:val="008B31BA"/>
    <w:rsid w:val="008D020E"/>
    <w:rsid w:val="008D1E96"/>
    <w:rsid w:val="00905C0F"/>
    <w:rsid w:val="009135EC"/>
    <w:rsid w:val="00931F51"/>
    <w:rsid w:val="00932BB7"/>
    <w:rsid w:val="0093619D"/>
    <w:rsid w:val="00963276"/>
    <w:rsid w:val="00982D8A"/>
    <w:rsid w:val="009A3D5D"/>
    <w:rsid w:val="009D10C1"/>
    <w:rsid w:val="009D455C"/>
    <w:rsid w:val="009E1A9E"/>
    <w:rsid w:val="009F04F3"/>
    <w:rsid w:val="00A270E3"/>
    <w:rsid w:val="00A37384"/>
    <w:rsid w:val="00A40C60"/>
    <w:rsid w:val="00A5073C"/>
    <w:rsid w:val="00A60A2B"/>
    <w:rsid w:val="00A61519"/>
    <w:rsid w:val="00A63A28"/>
    <w:rsid w:val="00A75B55"/>
    <w:rsid w:val="00AA533D"/>
    <w:rsid w:val="00AB5D80"/>
    <w:rsid w:val="00AC4C70"/>
    <w:rsid w:val="00AD3344"/>
    <w:rsid w:val="00AD7661"/>
    <w:rsid w:val="00AF41A2"/>
    <w:rsid w:val="00B1097D"/>
    <w:rsid w:val="00B54789"/>
    <w:rsid w:val="00B646AC"/>
    <w:rsid w:val="00B70606"/>
    <w:rsid w:val="00B92DE9"/>
    <w:rsid w:val="00B97FD8"/>
    <w:rsid w:val="00BA0B41"/>
    <w:rsid w:val="00BC74E0"/>
    <w:rsid w:val="00BE24BF"/>
    <w:rsid w:val="00C13892"/>
    <w:rsid w:val="00C25BE3"/>
    <w:rsid w:val="00C42B65"/>
    <w:rsid w:val="00C57833"/>
    <w:rsid w:val="00C60B48"/>
    <w:rsid w:val="00C73C68"/>
    <w:rsid w:val="00C85EE3"/>
    <w:rsid w:val="00C93873"/>
    <w:rsid w:val="00C951BF"/>
    <w:rsid w:val="00CB49F0"/>
    <w:rsid w:val="00CC6E3E"/>
    <w:rsid w:val="00CD742A"/>
    <w:rsid w:val="00CF1A86"/>
    <w:rsid w:val="00CF555A"/>
    <w:rsid w:val="00D00973"/>
    <w:rsid w:val="00D121B2"/>
    <w:rsid w:val="00D1346C"/>
    <w:rsid w:val="00D30D1E"/>
    <w:rsid w:val="00D47C5D"/>
    <w:rsid w:val="00D501D0"/>
    <w:rsid w:val="00D64DA2"/>
    <w:rsid w:val="00D7287D"/>
    <w:rsid w:val="00D72BE1"/>
    <w:rsid w:val="00D863DF"/>
    <w:rsid w:val="00D96F54"/>
    <w:rsid w:val="00DB148D"/>
    <w:rsid w:val="00DB2313"/>
    <w:rsid w:val="00DE78D1"/>
    <w:rsid w:val="00E05E68"/>
    <w:rsid w:val="00E12ED5"/>
    <w:rsid w:val="00E16D7D"/>
    <w:rsid w:val="00E23FC8"/>
    <w:rsid w:val="00E4420E"/>
    <w:rsid w:val="00E44A4C"/>
    <w:rsid w:val="00E45123"/>
    <w:rsid w:val="00E57424"/>
    <w:rsid w:val="00E80A60"/>
    <w:rsid w:val="00E8618B"/>
    <w:rsid w:val="00EA4D6A"/>
    <w:rsid w:val="00EB1392"/>
    <w:rsid w:val="00EB3A9E"/>
    <w:rsid w:val="00EF6052"/>
    <w:rsid w:val="00EF697A"/>
    <w:rsid w:val="00F00108"/>
    <w:rsid w:val="00F10E2B"/>
    <w:rsid w:val="00F115B3"/>
    <w:rsid w:val="00F14C65"/>
    <w:rsid w:val="00F50DBA"/>
    <w:rsid w:val="00F546D5"/>
    <w:rsid w:val="00F57E42"/>
    <w:rsid w:val="00F7602E"/>
    <w:rsid w:val="00F829DD"/>
    <w:rsid w:val="00FE5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AB7B"/>
  <w15:chartTrackingRefBased/>
  <w15:docId w15:val="{61D33CDE-5839-412A-B526-CC6351E1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61"/>
  </w:style>
  <w:style w:type="paragraph" w:styleId="Heading1">
    <w:name w:val="heading 1"/>
    <w:basedOn w:val="Normal"/>
    <w:next w:val="Normal"/>
    <w:link w:val="Heading1Char"/>
    <w:uiPriority w:val="9"/>
    <w:qFormat/>
    <w:rsid w:val="00AD7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7661"/>
    <w:pPr>
      <w:ind w:left="720"/>
      <w:contextualSpacing/>
    </w:pPr>
  </w:style>
  <w:style w:type="paragraph" w:styleId="TOCHeading">
    <w:name w:val="TOC Heading"/>
    <w:basedOn w:val="Heading1"/>
    <w:next w:val="Normal"/>
    <w:uiPriority w:val="39"/>
    <w:unhideWhenUsed/>
    <w:qFormat/>
    <w:rsid w:val="00AD7661"/>
    <w:pPr>
      <w:outlineLvl w:val="9"/>
    </w:pPr>
    <w:rPr>
      <w:kern w:val="0"/>
      <w14:ligatures w14:val="none"/>
    </w:rPr>
  </w:style>
  <w:style w:type="paragraph" w:styleId="Header">
    <w:name w:val="header"/>
    <w:basedOn w:val="Normal"/>
    <w:link w:val="HeaderChar"/>
    <w:uiPriority w:val="99"/>
    <w:unhideWhenUsed/>
    <w:rsid w:val="009E1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9E"/>
  </w:style>
  <w:style w:type="paragraph" w:styleId="Footer">
    <w:name w:val="footer"/>
    <w:basedOn w:val="Normal"/>
    <w:link w:val="FooterChar"/>
    <w:uiPriority w:val="99"/>
    <w:unhideWhenUsed/>
    <w:rsid w:val="009E1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9E"/>
  </w:style>
  <w:style w:type="character" w:customStyle="1" w:styleId="normal1">
    <w:name w:val="normal1"/>
    <w:basedOn w:val="DefaultParagraphFont"/>
    <w:rsid w:val="000C03F0"/>
  </w:style>
  <w:style w:type="paragraph" w:styleId="NormalWeb">
    <w:name w:val="Normal (Web)"/>
    <w:basedOn w:val="Normal"/>
    <w:uiPriority w:val="99"/>
    <w:semiHidden/>
    <w:unhideWhenUsed/>
    <w:rsid w:val="000F76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26395">
      <w:bodyDiv w:val="1"/>
      <w:marLeft w:val="0"/>
      <w:marRight w:val="0"/>
      <w:marTop w:val="0"/>
      <w:marBottom w:val="0"/>
      <w:divBdr>
        <w:top w:val="none" w:sz="0" w:space="0" w:color="auto"/>
        <w:left w:val="none" w:sz="0" w:space="0" w:color="auto"/>
        <w:bottom w:val="none" w:sz="0" w:space="0" w:color="auto"/>
        <w:right w:val="none" w:sz="0" w:space="0" w:color="auto"/>
      </w:divBdr>
    </w:div>
    <w:div w:id="14128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Marilia Hadjiprodromou</cp:lastModifiedBy>
  <cp:revision>3</cp:revision>
  <cp:lastPrinted>2024-01-31T06:16:00Z</cp:lastPrinted>
  <dcterms:created xsi:type="dcterms:W3CDTF">2024-02-02T11:54:00Z</dcterms:created>
  <dcterms:modified xsi:type="dcterms:W3CDTF">2024-02-02T11:55:00Z</dcterms:modified>
</cp:coreProperties>
</file>